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884" w:rsidRDefault="00B34884" w:rsidP="00CF64DF">
      <w:pPr>
        <w:rPr>
          <w:rFonts w:ascii="Arial" w:hAnsi="Arial" w:cs="Arial"/>
          <w:b/>
          <w:sz w:val="24"/>
          <w:szCs w:val="24"/>
        </w:rPr>
      </w:pPr>
      <w:r>
        <w:rPr>
          <w:rFonts w:ascii="Arial" w:hAnsi="Arial" w:cs="Arial"/>
          <w:b/>
          <w:sz w:val="24"/>
          <w:szCs w:val="24"/>
        </w:rPr>
        <w:t>ODKAZY NA TECHNICKÉ NORMY V PRÁVNÍCH PŘEDPISECH</w:t>
      </w:r>
    </w:p>
    <w:p w:rsidR="00B34884" w:rsidRDefault="00B34884" w:rsidP="00CF64DF">
      <w:pPr>
        <w:rPr>
          <w:rFonts w:ascii="Arial" w:hAnsi="Arial" w:cs="Arial"/>
          <w:b/>
          <w:sz w:val="24"/>
          <w:szCs w:val="24"/>
        </w:rPr>
      </w:pPr>
    </w:p>
    <w:p w:rsidR="00EE3429" w:rsidRPr="00CF64DF" w:rsidRDefault="00CF64DF" w:rsidP="00CF64DF">
      <w:pPr>
        <w:rPr>
          <w:rFonts w:ascii="Arial" w:hAnsi="Arial" w:cs="Arial"/>
          <w:b/>
          <w:sz w:val="24"/>
          <w:szCs w:val="24"/>
        </w:rPr>
      </w:pPr>
      <w:r>
        <w:rPr>
          <w:rFonts w:ascii="Arial" w:hAnsi="Arial" w:cs="Arial"/>
          <w:b/>
          <w:sz w:val="24"/>
          <w:szCs w:val="24"/>
        </w:rPr>
        <w:t xml:space="preserve">1. </w:t>
      </w:r>
      <w:r w:rsidR="00083B86" w:rsidRPr="00CF64DF">
        <w:rPr>
          <w:rFonts w:ascii="Arial" w:hAnsi="Arial" w:cs="Arial"/>
          <w:b/>
          <w:sz w:val="24"/>
          <w:szCs w:val="24"/>
        </w:rPr>
        <w:t>Odkazy na technické normy ve stavebních předpisech</w:t>
      </w:r>
    </w:p>
    <w:p w:rsidR="00CF64DF" w:rsidRPr="00CF64DF" w:rsidRDefault="00CF64DF">
      <w:pPr>
        <w:rPr>
          <w:rFonts w:ascii="Arial" w:hAnsi="Arial" w:cs="Arial"/>
          <w:sz w:val="20"/>
          <w:szCs w:val="20"/>
        </w:rPr>
      </w:pPr>
      <w:r w:rsidRPr="00CF64DF">
        <w:rPr>
          <w:rFonts w:ascii="Arial" w:hAnsi="Arial" w:cs="Arial"/>
          <w:sz w:val="20"/>
          <w:szCs w:val="20"/>
        </w:rPr>
        <w:t>Tzv. základní předpisy stavebního práva představuje stavební zákon a jeho prováděcí předpisy.</w:t>
      </w:r>
    </w:p>
    <w:p w:rsidR="002A269B" w:rsidRPr="00083B86" w:rsidRDefault="00BA5450">
      <w:pPr>
        <w:rPr>
          <w:rFonts w:ascii="Arial" w:hAnsi="Arial" w:cs="Arial"/>
          <w:b/>
          <w:sz w:val="20"/>
          <w:szCs w:val="20"/>
        </w:rPr>
      </w:pPr>
      <w:r w:rsidRPr="00083B86">
        <w:rPr>
          <w:rFonts w:ascii="Arial" w:hAnsi="Arial" w:cs="Arial"/>
          <w:b/>
          <w:sz w:val="20"/>
          <w:szCs w:val="20"/>
        </w:rPr>
        <w:t>Zákon č. 183/2006 Sb., stavební zákon</w:t>
      </w:r>
      <w:r w:rsidR="00083B86" w:rsidRPr="00083B86">
        <w:rPr>
          <w:rFonts w:ascii="Arial" w:hAnsi="Arial" w:cs="Arial"/>
          <w:b/>
          <w:sz w:val="20"/>
          <w:szCs w:val="20"/>
        </w:rPr>
        <w:t>:</w:t>
      </w:r>
    </w:p>
    <w:p w:rsidR="00BA5450" w:rsidRPr="002A269B" w:rsidRDefault="00BA5450">
      <w:pPr>
        <w:rPr>
          <w:rFonts w:ascii="Arial" w:hAnsi="Arial" w:cs="Arial"/>
          <w:b/>
          <w:sz w:val="20"/>
          <w:szCs w:val="20"/>
        </w:rPr>
      </w:pPr>
      <w:r w:rsidRPr="002A269B">
        <w:rPr>
          <w:rFonts w:ascii="Arial" w:hAnsi="Arial" w:cs="Arial"/>
          <w:b/>
          <w:sz w:val="20"/>
          <w:szCs w:val="20"/>
        </w:rPr>
        <w:t xml:space="preserve">§ 196 </w:t>
      </w:r>
    </w:p>
    <w:p w:rsidR="00BA5450" w:rsidRPr="00083B86" w:rsidRDefault="00BA5450" w:rsidP="00083B86">
      <w:pPr>
        <w:ind w:firstLine="708"/>
        <w:rPr>
          <w:rFonts w:ascii="Arial" w:hAnsi="Arial" w:cs="Arial"/>
          <w:i/>
          <w:sz w:val="20"/>
          <w:szCs w:val="20"/>
        </w:rPr>
      </w:pPr>
      <w:r w:rsidRPr="00083B86">
        <w:rPr>
          <w:rFonts w:ascii="Arial" w:hAnsi="Arial" w:cs="Arial"/>
          <w:i/>
          <w:sz w:val="20"/>
          <w:szCs w:val="20"/>
        </w:rPr>
        <w:t>(2) Pokud tento zákon nebo jiný právní předpis vydaný k jeho provedení stanoví povinnost postupovat podle technické normy (ČSN, ČSN EN), musí být tato technická norma bezplatně veřejně přístupná.</w:t>
      </w:r>
    </w:p>
    <w:p w:rsidR="002A269B" w:rsidRPr="00083B86" w:rsidRDefault="002A269B" w:rsidP="002A269B">
      <w:pPr>
        <w:rPr>
          <w:rFonts w:ascii="Arial" w:hAnsi="Arial" w:cs="Arial"/>
          <w:b/>
          <w:sz w:val="20"/>
          <w:szCs w:val="20"/>
        </w:rPr>
      </w:pPr>
      <w:r w:rsidRPr="002A269B">
        <w:rPr>
          <w:rFonts w:ascii="Arial" w:hAnsi="Arial" w:cs="Arial"/>
          <w:b/>
          <w:sz w:val="20"/>
          <w:szCs w:val="20"/>
        </w:rPr>
        <w:t>§</w:t>
      </w:r>
      <w:r w:rsidR="00083B86">
        <w:rPr>
          <w:rFonts w:ascii="Arial" w:hAnsi="Arial" w:cs="Arial"/>
          <w:b/>
          <w:sz w:val="20"/>
          <w:szCs w:val="20"/>
        </w:rPr>
        <w:t xml:space="preserve"> </w:t>
      </w:r>
      <w:r w:rsidRPr="002A269B">
        <w:rPr>
          <w:rFonts w:ascii="Arial" w:hAnsi="Arial" w:cs="Arial"/>
          <w:b/>
          <w:sz w:val="20"/>
          <w:szCs w:val="20"/>
        </w:rPr>
        <w:t>169</w:t>
      </w:r>
      <w:r w:rsidR="00083B86">
        <w:rPr>
          <w:rFonts w:ascii="Arial" w:hAnsi="Arial" w:cs="Arial"/>
          <w:b/>
          <w:sz w:val="20"/>
          <w:szCs w:val="20"/>
        </w:rPr>
        <w:t xml:space="preserve"> </w:t>
      </w:r>
      <w:r w:rsidRPr="00083B86">
        <w:rPr>
          <w:rFonts w:ascii="Arial" w:hAnsi="Arial" w:cs="Arial"/>
          <w:b/>
          <w:sz w:val="20"/>
          <w:szCs w:val="20"/>
        </w:rPr>
        <w:t>Obecné požadavky na výstavbu</w:t>
      </w:r>
    </w:p>
    <w:p w:rsidR="002A269B" w:rsidRPr="00083B86" w:rsidRDefault="002A269B" w:rsidP="002A269B">
      <w:pPr>
        <w:rPr>
          <w:rFonts w:ascii="Arial" w:hAnsi="Arial" w:cs="Arial"/>
          <w:i/>
          <w:sz w:val="20"/>
          <w:szCs w:val="20"/>
        </w:rPr>
      </w:pPr>
      <w:r w:rsidRPr="00083B86">
        <w:rPr>
          <w:rFonts w:ascii="Arial" w:hAnsi="Arial" w:cs="Arial"/>
          <w:i/>
          <w:sz w:val="20"/>
          <w:szCs w:val="20"/>
        </w:rPr>
        <w:t>(1) Právnické osoby, fyzické osoby a příslušné orgány veřejné správy jsou povinny při územně plánovací a projektové činnosti, při povolování, provádění, užívání a odstraňování staveb respektovat záměry územního plánování a obecné požadavky na výstavbu [§</w:t>
      </w:r>
      <w:r w:rsidR="00657038">
        <w:rPr>
          <w:rFonts w:ascii="Arial" w:hAnsi="Arial" w:cs="Arial"/>
          <w:i/>
          <w:sz w:val="20"/>
          <w:szCs w:val="20"/>
        </w:rPr>
        <w:t xml:space="preserve"> </w:t>
      </w:r>
      <w:r w:rsidRPr="00083B86">
        <w:rPr>
          <w:rFonts w:ascii="Arial" w:hAnsi="Arial" w:cs="Arial"/>
          <w:i/>
          <w:sz w:val="20"/>
          <w:szCs w:val="20"/>
        </w:rPr>
        <w:t>2 odst. 2 písm. e)] stanovené prováděcími právními předpisy.</w:t>
      </w:r>
    </w:p>
    <w:p w:rsidR="002A269B" w:rsidRPr="002A269B" w:rsidRDefault="002A269B" w:rsidP="002A269B">
      <w:pPr>
        <w:rPr>
          <w:rFonts w:ascii="Arial" w:hAnsi="Arial" w:cs="Arial"/>
          <w:b/>
          <w:sz w:val="20"/>
          <w:szCs w:val="20"/>
        </w:rPr>
      </w:pPr>
      <w:r w:rsidRPr="002A269B">
        <w:rPr>
          <w:rFonts w:ascii="Arial" w:hAnsi="Arial" w:cs="Arial"/>
          <w:b/>
          <w:sz w:val="20"/>
          <w:szCs w:val="20"/>
        </w:rPr>
        <w:t>§ 194</w:t>
      </w:r>
      <w:r w:rsidR="00083B86">
        <w:rPr>
          <w:rFonts w:ascii="Arial" w:hAnsi="Arial" w:cs="Arial"/>
          <w:b/>
          <w:sz w:val="20"/>
          <w:szCs w:val="20"/>
        </w:rPr>
        <w:t xml:space="preserve"> </w:t>
      </w:r>
    </w:p>
    <w:p w:rsidR="002A269B" w:rsidRPr="00083B86" w:rsidRDefault="002A269B" w:rsidP="002A269B">
      <w:pPr>
        <w:rPr>
          <w:rFonts w:ascii="Arial" w:hAnsi="Arial" w:cs="Arial"/>
          <w:i/>
          <w:sz w:val="20"/>
          <w:szCs w:val="20"/>
        </w:rPr>
      </w:pPr>
      <w:r w:rsidRPr="00083B86">
        <w:rPr>
          <w:rFonts w:ascii="Arial" w:hAnsi="Arial" w:cs="Arial"/>
          <w:i/>
          <w:sz w:val="20"/>
          <w:szCs w:val="20"/>
        </w:rPr>
        <w:t>K provedení §</w:t>
      </w:r>
      <w:r w:rsidR="003066CF">
        <w:rPr>
          <w:rFonts w:ascii="Arial" w:hAnsi="Arial" w:cs="Arial"/>
          <w:i/>
          <w:sz w:val="20"/>
          <w:szCs w:val="20"/>
        </w:rPr>
        <w:t xml:space="preserve"> </w:t>
      </w:r>
      <w:r w:rsidRPr="00083B86">
        <w:rPr>
          <w:rFonts w:ascii="Arial" w:hAnsi="Arial" w:cs="Arial"/>
          <w:i/>
          <w:sz w:val="20"/>
          <w:szCs w:val="20"/>
        </w:rPr>
        <w:t>169</w:t>
      </w:r>
    </w:p>
    <w:p w:rsidR="002A269B" w:rsidRPr="00083B86" w:rsidRDefault="002A269B" w:rsidP="002A269B">
      <w:pPr>
        <w:rPr>
          <w:rFonts w:ascii="Arial" w:hAnsi="Arial" w:cs="Arial"/>
          <w:i/>
          <w:sz w:val="20"/>
          <w:szCs w:val="20"/>
        </w:rPr>
      </w:pPr>
      <w:r w:rsidRPr="00083B86">
        <w:rPr>
          <w:rFonts w:ascii="Arial" w:hAnsi="Arial" w:cs="Arial"/>
          <w:i/>
          <w:sz w:val="20"/>
          <w:szCs w:val="20"/>
        </w:rPr>
        <w:t>a) ministerstvo stanoví právním předpisem obecné požadavky na výstavbu [§</w:t>
      </w:r>
      <w:r w:rsidR="00657038">
        <w:rPr>
          <w:rFonts w:ascii="Arial" w:hAnsi="Arial" w:cs="Arial"/>
          <w:i/>
          <w:sz w:val="20"/>
          <w:szCs w:val="20"/>
        </w:rPr>
        <w:t xml:space="preserve"> </w:t>
      </w:r>
      <w:r w:rsidRPr="00083B86">
        <w:rPr>
          <w:rFonts w:ascii="Arial" w:hAnsi="Arial" w:cs="Arial"/>
          <w:i/>
          <w:sz w:val="20"/>
          <w:szCs w:val="20"/>
        </w:rPr>
        <w:t>2 odst. 2 písm. e)],</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b) Ministerstvo zemědělství stanoví právním předpisem technické požadavky pro vodní díla a technické požadavky pro stavby pro plnění funkcí lesa,</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c) Ministerstvo dopravy stanoví právním předpisem technické požadavky pro letecké stavby podle zákona o civilním letectví57), pro stavby drah a na dráze včetně zařízení na dráze, stavby dálnic, silnic, místních komunikací a veřejně přístupných účelových komunikací a rozsah a obsah projektové dokumentace k uvedeným stavbám,</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 xml:space="preserve">d) Ministerstvo průmyslu a obchodu stanoví právním předpisem technické požadavky pro stavby k účelům těžby, zpracování, transportu a ukládání radioaktivních surovin na území vyhrazeném pro tyto účely a pro stavby související s úložišti radioaktivních odpadů obsahující přírodní </w:t>
      </w:r>
      <w:proofErr w:type="spellStart"/>
      <w:r w:rsidRPr="00083B86">
        <w:rPr>
          <w:rFonts w:ascii="Arial" w:hAnsi="Arial" w:cs="Arial"/>
          <w:i/>
          <w:sz w:val="20"/>
          <w:szCs w:val="20"/>
        </w:rPr>
        <w:t>radionuklidy</w:t>
      </w:r>
      <w:proofErr w:type="spellEnd"/>
      <w:r w:rsidRPr="00083B86">
        <w:rPr>
          <w:rFonts w:ascii="Arial" w:hAnsi="Arial" w:cs="Arial"/>
          <w:i/>
          <w:sz w:val="20"/>
          <w:szCs w:val="20"/>
        </w:rPr>
        <w:t xml:space="preserve"> a pro stavby náležející k provozním celkům, jejichž součástí je jaderné zařízení10) a stavby k účelům přepravy a skladování ropy,</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e) hlavní město Praha stanoví nařízením vydaným v přenesené působnosti obecné požadavky na využívání území a technické požadavky na stavby v hlavním městě Praze,</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f) Český báňský úřad stanoví právním předpisem požadavky pro stavby, které mají sloužit otvírce, přípravě a dobývání výhradních ložisek, jakož i úpravě a zušlechťování nerostů prováděných v souvislosti s jejich dobýváním, požadavky na stavby skladů výbušnin a požadavky na ochranná pásma důlních děl,</w:t>
      </w:r>
    </w:p>
    <w:p w:rsidR="002A269B" w:rsidRPr="00083B86" w:rsidRDefault="002A269B" w:rsidP="002A269B">
      <w:pPr>
        <w:ind w:left="227" w:hanging="227"/>
        <w:rPr>
          <w:rFonts w:ascii="Arial" w:hAnsi="Arial" w:cs="Arial"/>
          <w:i/>
          <w:sz w:val="20"/>
          <w:szCs w:val="20"/>
        </w:rPr>
      </w:pPr>
      <w:r w:rsidRPr="00083B86">
        <w:rPr>
          <w:rFonts w:ascii="Arial" w:hAnsi="Arial" w:cs="Arial"/>
          <w:i/>
          <w:sz w:val="20"/>
          <w:szCs w:val="20"/>
        </w:rPr>
        <w:t>g) Ministerstvo spravedlnosti stanoví právním předpisem technické požadavky pro stavby pro účely Vězeňské služby a jejích organizačních jednotek.</w:t>
      </w:r>
    </w:p>
    <w:p w:rsidR="002A269B" w:rsidRDefault="002A269B">
      <w:pPr>
        <w:rPr>
          <w:rFonts w:ascii="Arial" w:hAnsi="Arial" w:cs="Arial"/>
          <w:sz w:val="20"/>
          <w:szCs w:val="20"/>
        </w:rPr>
      </w:pPr>
    </w:p>
    <w:p w:rsidR="00083B86" w:rsidRPr="00083B86" w:rsidRDefault="00083B86" w:rsidP="00083B86">
      <w:pPr>
        <w:rPr>
          <w:rFonts w:ascii="Arial" w:hAnsi="Arial" w:cs="Arial"/>
          <w:b/>
          <w:sz w:val="20"/>
          <w:szCs w:val="20"/>
        </w:rPr>
      </w:pPr>
      <w:r w:rsidRPr="00083B86">
        <w:rPr>
          <w:rFonts w:ascii="Arial" w:hAnsi="Arial" w:cs="Arial"/>
          <w:b/>
          <w:bCs/>
          <w:color w:val="231F20"/>
          <w:sz w:val="20"/>
          <w:szCs w:val="20"/>
        </w:rPr>
        <w:t>Vyhláška č. 268/2009 Sb., o technických požadavcích na stavby, ve znění vyhlášky č. 20/2012 a vyhláška č. 398/2009 Sb., o obecných technických požadavcích zabezpečujících bezbariérové užívání staveb</w:t>
      </w:r>
    </w:p>
    <w:p w:rsidR="00BA5450" w:rsidRDefault="00083B86">
      <w:pPr>
        <w:rPr>
          <w:rFonts w:ascii="Arial" w:hAnsi="Arial" w:cs="Arial"/>
          <w:bCs/>
          <w:color w:val="231F20"/>
          <w:sz w:val="20"/>
          <w:szCs w:val="20"/>
        </w:rPr>
      </w:pPr>
      <w:r>
        <w:rPr>
          <w:rFonts w:ascii="Arial" w:hAnsi="Arial" w:cs="Arial"/>
          <w:sz w:val="20"/>
          <w:szCs w:val="20"/>
        </w:rPr>
        <w:t xml:space="preserve">Na technické normy, resp. normové hodnoty, se odvolávají prováděcí vyhlášky ke stavebnímu zákonu vydávané Ministerstvem pro místní rozvoj. Tyto vyhlášky neobsahují čísla ani názvy konkrétních norem. Normy lze dohledat prostřednictvím seznamů ČSN, uveřejněných na webových stránkách </w:t>
      </w:r>
      <w:r>
        <w:rPr>
          <w:rFonts w:ascii="Arial" w:hAnsi="Arial" w:cs="Arial"/>
          <w:sz w:val="20"/>
          <w:szCs w:val="20"/>
        </w:rPr>
        <w:lastRenderedPageBreak/>
        <w:t>MMR (</w:t>
      </w:r>
      <w:hyperlink r:id="rId5" w:history="1">
        <w:r w:rsidRPr="00902C28">
          <w:rPr>
            <w:rStyle w:val="Hypertextovodkaz"/>
            <w:rFonts w:ascii="Arial" w:hAnsi="Arial" w:cs="Arial"/>
            <w:sz w:val="20"/>
            <w:szCs w:val="20"/>
          </w:rPr>
          <w:t>www.mmr.cz</w:t>
        </w:r>
      </w:hyperlink>
      <w:r>
        <w:rPr>
          <w:rFonts w:ascii="Arial" w:hAnsi="Arial" w:cs="Arial"/>
          <w:sz w:val="20"/>
          <w:szCs w:val="20"/>
        </w:rPr>
        <w:t xml:space="preserve"> – sekce </w:t>
      </w:r>
      <w:hyperlink r:id="rId6" w:tooltip="Územní a bytová politika" w:history="1">
        <w:r w:rsidR="00BA5450" w:rsidRPr="002A269B">
          <w:rPr>
            <w:rStyle w:val="Hypertextovodkaz"/>
            <w:rFonts w:ascii="Arial" w:hAnsi="Arial" w:cs="Arial"/>
            <w:bCs/>
            <w:color w:val="707070"/>
            <w:sz w:val="20"/>
            <w:szCs w:val="20"/>
            <w:u w:val="none"/>
            <w:bdr w:val="none" w:sz="0" w:space="0" w:color="auto" w:frame="1"/>
          </w:rPr>
          <w:t>Územní a bytová politika</w:t>
        </w:r>
      </w:hyperlink>
      <w:r w:rsidR="00BA5450" w:rsidRPr="002A269B">
        <w:rPr>
          <w:rStyle w:val="apple-converted-space"/>
          <w:rFonts w:ascii="Arial" w:hAnsi="Arial" w:cs="Arial"/>
          <w:bCs/>
          <w:color w:val="231F20"/>
          <w:sz w:val="20"/>
          <w:szCs w:val="20"/>
        </w:rPr>
        <w:t> </w:t>
      </w:r>
      <w:r w:rsidR="00BA5450" w:rsidRPr="002A269B">
        <w:rPr>
          <w:rFonts w:ascii="Arial" w:hAnsi="Arial" w:cs="Arial"/>
          <w:bCs/>
          <w:color w:val="231F20"/>
          <w:sz w:val="20"/>
          <w:szCs w:val="20"/>
        </w:rPr>
        <w:t>&gt;</w:t>
      </w:r>
      <w:r w:rsidR="00BA5450" w:rsidRPr="002A269B">
        <w:rPr>
          <w:rStyle w:val="apple-converted-space"/>
          <w:rFonts w:ascii="Arial" w:hAnsi="Arial" w:cs="Arial"/>
          <w:bCs/>
          <w:color w:val="231F20"/>
          <w:sz w:val="20"/>
          <w:szCs w:val="20"/>
        </w:rPr>
        <w:t> </w:t>
      </w:r>
      <w:hyperlink r:id="rId7" w:tooltip="Územní plánování a stavební řád" w:history="1">
        <w:r w:rsidR="00BA5450" w:rsidRPr="002A269B">
          <w:rPr>
            <w:rStyle w:val="Hypertextovodkaz"/>
            <w:rFonts w:ascii="Arial" w:hAnsi="Arial" w:cs="Arial"/>
            <w:bCs/>
            <w:color w:val="707070"/>
            <w:sz w:val="20"/>
            <w:szCs w:val="20"/>
            <w:u w:val="none"/>
            <w:bdr w:val="none" w:sz="0" w:space="0" w:color="auto" w:frame="1"/>
          </w:rPr>
          <w:t>Územní plánování a stavební řád</w:t>
        </w:r>
      </w:hyperlink>
      <w:r w:rsidR="00BA5450" w:rsidRPr="002A269B">
        <w:rPr>
          <w:rStyle w:val="apple-converted-space"/>
          <w:rFonts w:ascii="Arial" w:hAnsi="Arial" w:cs="Arial"/>
          <w:bCs/>
          <w:color w:val="231F20"/>
          <w:sz w:val="20"/>
          <w:szCs w:val="20"/>
        </w:rPr>
        <w:t> </w:t>
      </w:r>
      <w:r w:rsidR="00BA5450" w:rsidRPr="002A269B">
        <w:rPr>
          <w:rFonts w:ascii="Arial" w:hAnsi="Arial" w:cs="Arial"/>
          <w:bCs/>
          <w:color w:val="231F20"/>
          <w:sz w:val="20"/>
          <w:szCs w:val="20"/>
        </w:rPr>
        <w:t>&gt;</w:t>
      </w:r>
      <w:r w:rsidR="00BA5450" w:rsidRPr="002A269B">
        <w:rPr>
          <w:rStyle w:val="apple-converted-space"/>
          <w:rFonts w:ascii="Arial" w:hAnsi="Arial" w:cs="Arial"/>
          <w:bCs/>
          <w:color w:val="231F20"/>
          <w:sz w:val="20"/>
          <w:szCs w:val="20"/>
        </w:rPr>
        <w:t> </w:t>
      </w:r>
      <w:hyperlink r:id="rId8" w:tooltip="Právo a legislativa" w:history="1">
        <w:r w:rsidR="00BA5450" w:rsidRPr="002A269B">
          <w:rPr>
            <w:rStyle w:val="Hypertextovodkaz"/>
            <w:rFonts w:ascii="Arial" w:hAnsi="Arial" w:cs="Arial"/>
            <w:bCs/>
            <w:color w:val="707070"/>
            <w:sz w:val="20"/>
            <w:szCs w:val="20"/>
            <w:u w:val="none"/>
            <w:bdr w:val="none" w:sz="0" w:space="0" w:color="auto" w:frame="1"/>
          </w:rPr>
          <w:t>Právo a legislativa</w:t>
        </w:r>
      </w:hyperlink>
      <w:r w:rsidR="00BA5450" w:rsidRPr="002A269B">
        <w:rPr>
          <w:rStyle w:val="apple-converted-space"/>
          <w:rFonts w:ascii="Arial" w:hAnsi="Arial" w:cs="Arial"/>
          <w:bCs/>
          <w:color w:val="231F20"/>
          <w:sz w:val="20"/>
          <w:szCs w:val="20"/>
        </w:rPr>
        <w:t> </w:t>
      </w:r>
      <w:r w:rsidR="00BA5450" w:rsidRPr="002A269B">
        <w:rPr>
          <w:rFonts w:ascii="Arial" w:hAnsi="Arial" w:cs="Arial"/>
          <w:bCs/>
          <w:color w:val="231F20"/>
          <w:sz w:val="20"/>
          <w:szCs w:val="20"/>
        </w:rPr>
        <w:t>&gt;</w:t>
      </w:r>
      <w:r>
        <w:rPr>
          <w:rFonts w:ascii="Arial" w:hAnsi="Arial" w:cs="Arial"/>
          <w:bCs/>
          <w:color w:val="231F20"/>
          <w:sz w:val="20"/>
          <w:szCs w:val="20"/>
        </w:rPr>
        <w:t>)</w:t>
      </w:r>
    </w:p>
    <w:p w:rsidR="00083B86" w:rsidRPr="002A269B" w:rsidRDefault="00083B86" w:rsidP="00083B86">
      <w:pPr>
        <w:rPr>
          <w:rFonts w:ascii="Arial" w:hAnsi="Arial" w:cs="Arial"/>
          <w:sz w:val="20"/>
          <w:szCs w:val="20"/>
        </w:rPr>
      </w:pPr>
      <w:hyperlink r:id="rId9" w:history="1">
        <w:r w:rsidRPr="002A269B">
          <w:rPr>
            <w:rStyle w:val="Hypertextovodkaz"/>
            <w:rFonts w:ascii="Arial" w:hAnsi="Arial" w:cs="Arial"/>
            <w:sz w:val="20"/>
            <w:szCs w:val="20"/>
          </w:rPr>
          <w:t>http://www.mmr.cz/cs/Stavebni-rad-a-bytova-politika/Uzemni-planovani-a-stavebni-rad/Pravo-a-legislativa-(1)/Normy-CSN-a-souvisejici-informace</w:t>
        </w:r>
      </w:hyperlink>
    </w:p>
    <w:p w:rsidR="00083B86" w:rsidRDefault="00083B86">
      <w:pPr>
        <w:rPr>
          <w:rFonts w:ascii="Arial" w:hAnsi="Arial" w:cs="Arial"/>
          <w:bCs/>
          <w:color w:val="231F20"/>
          <w:sz w:val="20"/>
          <w:szCs w:val="20"/>
        </w:rPr>
      </w:pPr>
      <w:r>
        <w:rPr>
          <w:rFonts w:ascii="Arial" w:hAnsi="Arial" w:cs="Arial"/>
          <w:bCs/>
          <w:color w:val="231F20"/>
          <w:sz w:val="20"/>
          <w:szCs w:val="20"/>
        </w:rPr>
        <w:t>kde je umístěn</w:t>
      </w:r>
    </w:p>
    <w:p w:rsidR="00BA5450" w:rsidRPr="00083B86" w:rsidRDefault="00BA5450" w:rsidP="00083B86">
      <w:pPr>
        <w:pStyle w:val="Odstavecseseznamem"/>
        <w:numPr>
          <w:ilvl w:val="0"/>
          <w:numId w:val="2"/>
        </w:numPr>
        <w:rPr>
          <w:rFonts w:ascii="Arial" w:hAnsi="Arial" w:cs="Arial"/>
          <w:bCs/>
          <w:color w:val="231F20"/>
          <w:sz w:val="20"/>
          <w:szCs w:val="20"/>
        </w:rPr>
      </w:pPr>
      <w:r w:rsidRPr="00083B86">
        <w:rPr>
          <w:rFonts w:ascii="Arial" w:hAnsi="Arial" w:cs="Arial"/>
          <w:bCs/>
          <w:color w:val="231F20"/>
          <w:sz w:val="20"/>
          <w:szCs w:val="20"/>
        </w:rPr>
        <w:t>Seznam ČSN k vyhlášce 268/2009 Sb., o technických požadavcích na stavby, ve znění vyhlášky č. 20/2012</w:t>
      </w:r>
    </w:p>
    <w:p w:rsidR="00BA5450" w:rsidRPr="00083B86" w:rsidRDefault="00BA5450" w:rsidP="00083B86">
      <w:pPr>
        <w:pStyle w:val="Odstavecseseznamem"/>
        <w:numPr>
          <w:ilvl w:val="0"/>
          <w:numId w:val="2"/>
        </w:numPr>
        <w:rPr>
          <w:rFonts w:ascii="Arial" w:hAnsi="Arial" w:cs="Arial"/>
          <w:sz w:val="20"/>
          <w:szCs w:val="20"/>
        </w:rPr>
      </w:pPr>
      <w:r w:rsidRPr="00083B86">
        <w:rPr>
          <w:rFonts w:ascii="Arial" w:hAnsi="Arial" w:cs="Arial"/>
          <w:bCs/>
          <w:color w:val="231F20"/>
          <w:sz w:val="20"/>
          <w:szCs w:val="20"/>
        </w:rPr>
        <w:t>Seznam ČSN k vyhlášce 398/2009 Sb., o obecných technických požadavcích zabezpečujících bezbariérové užívání staveb</w:t>
      </w:r>
    </w:p>
    <w:p w:rsidR="00BA5450" w:rsidRPr="002A269B" w:rsidRDefault="00BA5450">
      <w:pPr>
        <w:rPr>
          <w:rFonts w:ascii="Arial" w:hAnsi="Arial" w:cs="Arial"/>
          <w:sz w:val="20"/>
          <w:szCs w:val="20"/>
        </w:rPr>
      </w:pPr>
      <w:r w:rsidRPr="002A269B">
        <w:rPr>
          <w:rFonts w:ascii="Arial" w:hAnsi="Arial" w:cs="Arial"/>
          <w:sz w:val="20"/>
          <w:szCs w:val="20"/>
        </w:rPr>
        <w:t>s možností nastavení zasílání aktualizací.</w:t>
      </w:r>
    </w:p>
    <w:p w:rsidR="00BA5450" w:rsidRDefault="00BA5450">
      <w:pPr>
        <w:rPr>
          <w:rFonts w:ascii="Arial" w:hAnsi="Arial" w:cs="Arial"/>
          <w:sz w:val="20"/>
          <w:szCs w:val="20"/>
        </w:rPr>
      </w:pPr>
    </w:p>
    <w:p w:rsidR="001B443F" w:rsidRPr="004D61DD" w:rsidRDefault="001B443F">
      <w:pPr>
        <w:rPr>
          <w:rFonts w:ascii="Arial" w:hAnsi="Arial" w:cs="Arial"/>
          <w:b/>
          <w:sz w:val="20"/>
          <w:szCs w:val="20"/>
        </w:rPr>
      </w:pPr>
      <w:r w:rsidRPr="004D61DD">
        <w:rPr>
          <w:rFonts w:ascii="Arial" w:hAnsi="Arial" w:cs="Arial"/>
          <w:b/>
          <w:sz w:val="20"/>
          <w:szCs w:val="20"/>
        </w:rPr>
        <w:t>Vyhláška č. 501/2006 sb., o obecných požadavcích na využívání území</w:t>
      </w:r>
      <w:r w:rsidR="004D61DD" w:rsidRPr="004D61DD">
        <w:rPr>
          <w:rFonts w:ascii="Arial" w:hAnsi="Arial" w:cs="Arial"/>
          <w:b/>
          <w:sz w:val="20"/>
          <w:szCs w:val="20"/>
        </w:rPr>
        <w:t>, ve znění pozdějších předpisů</w:t>
      </w:r>
    </w:p>
    <w:p w:rsidR="004D61DD" w:rsidRDefault="004D61DD" w:rsidP="004D61DD">
      <w:pPr>
        <w:rPr>
          <w:rFonts w:ascii="Arial" w:hAnsi="Arial" w:cs="Arial"/>
          <w:sz w:val="20"/>
          <w:szCs w:val="20"/>
        </w:rPr>
      </w:pPr>
      <w:r>
        <w:rPr>
          <w:rFonts w:ascii="Arial" w:hAnsi="Arial" w:cs="Arial"/>
          <w:sz w:val="20"/>
          <w:szCs w:val="20"/>
        </w:rPr>
        <w:t xml:space="preserve">V § 20 odst. 5 obsahuje ustanovení, že </w:t>
      </w:r>
      <w:r w:rsidRPr="004D61DD">
        <w:rPr>
          <w:rFonts w:ascii="Arial" w:hAnsi="Arial" w:cs="Arial"/>
          <w:i/>
          <w:sz w:val="20"/>
          <w:szCs w:val="20"/>
        </w:rPr>
        <w:t xml:space="preserve">„stavební pozemek se vždy vymezuje tak, aby na něm bylo vyřešeno a) umístění odstavných a parkovacích stání pro účel využití pozemku a užívání staveb na něm umístěných v rozsahu požadavků příslušné české technické normy pro navrhování místních komunikací, což zaručuje splnění požadavků této vyhlášky, </w:t>
      </w:r>
      <w:proofErr w:type="gramStart"/>
      <w:r w:rsidRPr="004D61DD">
        <w:rPr>
          <w:rFonts w:ascii="Arial" w:hAnsi="Arial" w:cs="Arial"/>
          <w:i/>
          <w:sz w:val="20"/>
          <w:szCs w:val="20"/>
        </w:rPr>
        <w:t>…“</w:t>
      </w:r>
      <w:r>
        <w:rPr>
          <w:rFonts w:ascii="Arial" w:hAnsi="Arial" w:cs="Arial"/>
          <w:sz w:val="20"/>
          <w:szCs w:val="20"/>
        </w:rPr>
        <w:t xml:space="preserve"> . Odkaz</w:t>
      </w:r>
      <w:proofErr w:type="gramEnd"/>
      <w:r>
        <w:rPr>
          <w:rFonts w:ascii="Arial" w:hAnsi="Arial" w:cs="Arial"/>
          <w:sz w:val="20"/>
          <w:szCs w:val="20"/>
        </w:rPr>
        <w:t xml:space="preserve"> se týká</w:t>
      </w:r>
    </w:p>
    <w:p w:rsidR="004D61DD" w:rsidRDefault="004D61DD" w:rsidP="004D61DD">
      <w:pPr>
        <w:rPr>
          <w:rFonts w:ascii="Arial" w:hAnsi="Arial" w:cs="Arial"/>
          <w:sz w:val="20"/>
          <w:szCs w:val="20"/>
        </w:rPr>
      </w:pPr>
      <w:r>
        <w:rPr>
          <w:rFonts w:ascii="Arial" w:hAnsi="Arial" w:cs="Arial"/>
          <w:sz w:val="20"/>
          <w:szCs w:val="20"/>
        </w:rPr>
        <w:t>ČSN 73 6110 Projektování místních komunikací.</w:t>
      </w:r>
    </w:p>
    <w:p w:rsidR="004D61DD" w:rsidRDefault="004D61DD" w:rsidP="004D61DD">
      <w:pPr>
        <w:rPr>
          <w:rFonts w:ascii="Arial" w:hAnsi="Arial" w:cs="Arial"/>
          <w:sz w:val="20"/>
          <w:szCs w:val="20"/>
        </w:rPr>
      </w:pPr>
      <w:r>
        <w:rPr>
          <w:rFonts w:ascii="Arial" w:hAnsi="Arial" w:cs="Arial"/>
          <w:sz w:val="20"/>
          <w:szCs w:val="20"/>
        </w:rPr>
        <w:t>Text normy je v plném znění volně přístupný na webových stránkách Ministerstva pro místní rozvoj.</w:t>
      </w:r>
    </w:p>
    <w:p w:rsidR="001B443F" w:rsidRPr="002A269B" w:rsidRDefault="001B443F">
      <w:pPr>
        <w:rPr>
          <w:rFonts w:ascii="Arial" w:hAnsi="Arial" w:cs="Arial"/>
          <w:sz w:val="20"/>
          <w:szCs w:val="20"/>
        </w:rPr>
      </w:pPr>
    </w:p>
    <w:p w:rsidR="00BA5450" w:rsidRPr="002A269B" w:rsidRDefault="002A269B">
      <w:pPr>
        <w:rPr>
          <w:rFonts w:ascii="Arial" w:hAnsi="Arial" w:cs="Arial"/>
          <w:b/>
          <w:sz w:val="20"/>
          <w:szCs w:val="20"/>
        </w:rPr>
      </w:pPr>
      <w:r w:rsidRPr="002A269B">
        <w:rPr>
          <w:rFonts w:ascii="Arial" w:hAnsi="Arial" w:cs="Arial"/>
          <w:b/>
          <w:sz w:val="20"/>
          <w:szCs w:val="20"/>
        </w:rPr>
        <w:t>Vyhláška č. 590/2002 Sb.,</w:t>
      </w:r>
      <w:r w:rsidR="00CF64DF">
        <w:rPr>
          <w:rFonts w:ascii="Arial" w:hAnsi="Arial" w:cs="Arial"/>
          <w:b/>
          <w:sz w:val="20"/>
          <w:szCs w:val="20"/>
        </w:rPr>
        <w:t xml:space="preserve"> </w:t>
      </w:r>
      <w:r w:rsidRPr="002A269B">
        <w:rPr>
          <w:rFonts w:ascii="Arial" w:hAnsi="Arial" w:cs="Arial"/>
          <w:b/>
          <w:sz w:val="20"/>
          <w:szCs w:val="20"/>
        </w:rPr>
        <w:t>o technických požadavcích pro vodní díla, ve znění vyhlášky č. 367/2005 Sb.</w:t>
      </w:r>
    </w:p>
    <w:p w:rsidR="002A269B" w:rsidRDefault="002A269B">
      <w:pPr>
        <w:rPr>
          <w:rFonts w:ascii="Arial" w:hAnsi="Arial" w:cs="Arial"/>
          <w:sz w:val="20"/>
          <w:szCs w:val="20"/>
        </w:rPr>
      </w:pPr>
      <w:r w:rsidRPr="00A10E35">
        <w:rPr>
          <w:rFonts w:ascii="Arial" w:hAnsi="Arial" w:cs="Arial"/>
          <w:sz w:val="20"/>
          <w:szCs w:val="20"/>
        </w:rPr>
        <w:t xml:space="preserve">Formálně se jedná o prováděcí předpis ke zrušenému zákonu č. č. 50/1976 Sb., o územním plánování a stavebním řádu (dřívější, již neplatný stavební zákon). Odkazy na ČSN, případně </w:t>
      </w:r>
      <w:r w:rsidR="00A10E35" w:rsidRPr="00A10E35">
        <w:rPr>
          <w:rFonts w:ascii="Arial" w:hAnsi="Arial" w:cs="Arial"/>
          <w:sz w:val="20"/>
          <w:szCs w:val="20"/>
        </w:rPr>
        <w:t>TNV (o</w:t>
      </w:r>
      <w:r w:rsidR="00A10E35" w:rsidRPr="00A10E35">
        <w:rPr>
          <w:rFonts w:ascii="Arial" w:hAnsi="Arial" w:cs="Arial"/>
          <w:sz w:val="20"/>
          <w:szCs w:val="20"/>
          <w:shd w:val="clear" w:color="auto" w:fill="FFFFFF"/>
        </w:rPr>
        <w:t>dvětvové technické normy vodního hospodářství zpracované v úseku vodního hospodářství Ministerstva zemědělství</w:t>
      </w:r>
      <w:r w:rsidR="00A10E35" w:rsidRPr="00A10E35">
        <w:rPr>
          <w:rFonts w:ascii="Arial" w:hAnsi="Arial" w:cs="Arial"/>
          <w:sz w:val="20"/>
          <w:szCs w:val="20"/>
        </w:rPr>
        <w:t>) jsou</w:t>
      </w:r>
      <w:r w:rsidR="00A10E35">
        <w:rPr>
          <w:rFonts w:ascii="Arial" w:hAnsi="Arial" w:cs="Arial"/>
          <w:sz w:val="20"/>
          <w:szCs w:val="20"/>
        </w:rPr>
        <w:t xml:space="preserve"> uváděny v poznámkách pod čarou</w:t>
      </w:r>
    </w:p>
    <w:p w:rsidR="002A269B" w:rsidRDefault="002A269B">
      <w:pPr>
        <w:rPr>
          <w:rFonts w:ascii="Arial" w:hAnsi="Arial" w:cs="Arial"/>
          <w:sz w:val="20"/>
          <w:szCs w:val="20"/>
        </w:rPr>
      </w:pPr>
      <w:r w:rsidRPr="002A269B">
        <w:rPr>
          <w:rFonts w:ascii="Arial" w:hAnsi="Arial" w:cs="Arial"/>
          <w:sz w:val="20"/>
          <w:szCs w:val="20"/>
        </w:rPr>
        <w:t>ČSN 75 1400 Hydrologické údaje povrchových vod.</w:t>
      </w:r>
    </w:p>
    <w:p w:rsidR="002A269B" w:rsidRDefault="002A269B">
      <w:pPr>
        <w:rPr>
          <w:rFonts w:ascii="Arial" w:hAnsi="Arial" w:cs="Arial"/>
          <w:sz w:val="20"/>
          <w:szCs w:val="20"/>
        </w:rPr>
      </w:pPr>
      <w:r w:rsidRPr="002A269B">
        <w:rPr>
          <w:rFonts w:ascii="Arial" w:hAnsi="Arial" w:cs="Arial"/>
          <w:sz w:val="20"/>
          <w:szCs w:val="20"/>
        </w:rPr>
        <w:t>ČSN 75 2130 Křížení a souběhy vodních toků s dráhami, pozemními komunikacemi a vedeními.</w:t>
      </w:r>
    </w:p>
    <w:p w:rsidR="002A269B" w:rsidRDefault="002A269B">
      <w:pPr>
        <w:rPr>
          <w:rFonts w:ascii="Arial" w:hAnsi="Arial" w:cs="Arial"/>
          <w:sz w:val="20"/>
          <w:szCs w:val="20"/>
        </w:rPr>
      </w:pPr>
      <w:r w:rsidRPr="002A269B">
        <w:rPr>
          <w:rFonts w:ascii="Arial" w:hAnsi="Arial" w:cs="Arial"/>
          <w:sz w:val="20"/>
          <w:szCs w:val="20"/>
        </w:rPr>
        <w:t>ČSN 75 2410 Malé vodní nádrže.</w:t>
      </w:r>
    </w:p>
    <w:p w:rsidR="002A269B" w:rsidRDefault="002A269B">
      <w:pPr>
        <w:rPr>
          <w:rFonts w:ascii="Arial" w:hAnsi="Arial" w:cs="Arial"/>
          <w:sz w:val="20"/>
          <w:szCs w:val="20"/>
        </w:rPr>
      </w:pPr>
      <w:r w:rsidRPr="002A269B">
        <w:rPr>
          <w:rFonts w:ascii="Arial" w:hAnsi="Arial" w:cs="Arial"/>
          <w:sz w:val="20"/>
          <w:szCs w:val="20"/>
        </w:rPr>
        <w:t>ČSN 75 5115 Studny individuálního zásobování vodou.</w:t>
      </w:r>
    </w:p>
    <w:p w:rsidR="002A269B" w:rsidRDefault="002A269B">
      <w:pPr>
        <w:rPr>
          <w:rFonts w:ascii="Arial" w:hAnsi="Arial" w:cs="Arial"/>
          <w:sz w:val="20"/>
          <w:szCs w:val="20"/>
        </w:rPr>
      </w:pPr>
    </w:p>
    <w:p w:rsidR="002A269B" w:rsidRPr="003073E6" w:rsidRDefault="00904D6D">
      <w:pPr>
        <w:rPr>
          <w:rFonts w:ascii="Arial" w:hAnsi="Arial" w:cs="Arial"/>
          <w:b/>
          <w:sz w:val="20"/>
          <w:szCs w:val="20"/>
        </w:rPr>
      </w:pPr>
      <w:r w:rsidRPr="003073E6">
        <w:rPr>
          <w:rFonts w:ascii="Arial" w:hAnsi="Arial" w:cs="Arial"/>
          <w:b/>
          <w:sz w:val="20"/>
          <w:szCs w:val="20"/>
        </w:rPr>
        <w:t>Vyhláška č. 146/2008 Sb., o rozsahu a obsahu projektové dokumentace dopravních staveb</w:t>
      </w:r>
    </w:p>
    <w:p w:rsidR="003073E6" w:rsidRPr="003073E6" w:rsidRDefault="003073E6" w:rsidP="003073E6">
      <w:pPr>
        <w:rPr>
          <w:rFonts w:ascii="Arial" w:hAnsi="Arial" w:cs="Arial"/>
          <w:sz w:val="20"/>
          <w:szCs w:val="20"/>
        </w:rPr>
      </w:pPr>
      <w:r>
        <w:rPr>
          <w:rFonts w:ascii="Arial" w:hAnsi="Arial" w:cs="Arial"/>
          <w:sz w:val="20"/>
          <w:szCs w:val="20"/>
        </w:rPr>
        <w:t>je prováděcím předpisem stavebního zákona; obsahuje obecné odkazy na technické normy (</w:t>
      </w:r>
      <w:r w:rsidRPr="003073E6">
        <w:rPr>
          <w:rFonts w:ascii="Arial" w:hAnsi="Arial" w:cs="Arial"/>
          <w:i/>
          <w:sz w:val="20"/>
          <w:szCs w:val="20"/>
        </w:rPr>
        <w:t>Situace musí být zpracována v souladu s technickými normami …</w:t>
      </w:r>
      <w:r>
        <w:rPr>
          <w:rFonts w:ascii="Arial" w:hAnsi="Arial" w:cs="Arial"/>
          <w:sz w:val="20"/>
          <w:szCs w:val="20"/>
        </w:rPr>
        <w:t xml:space="preserve">) bez konkrétních odkazů. </w:t>
      </w:r>
    </w:p>
    <w:p w:rsidR="002A269B" w:rsidRDefault="002A269B">
      <w:pPr>
        <w:rPr>
          <w:rFonts w:ascii="Arial" w:hAnsi="Arial" w:cs="Arial"/>
          <w:sz w:val="20"/>
          <w:szCs w:val="20"/>
        </w:rPr>
      </w:pPr>
    </w:p>
    <w:p w:rsidR="003066CF" w:rsidRPr="003066CF" w:rsidRDefault="003066CF">
      <w:pPr>
        <w:rPr>
          <w:rFonts w:ascii="Arial" w:hAnsi="Arial" w:cs="Arial"/>
          <w:b/>
          <w:sz w:val="20"/>
          <w:szCs w:val="20"/>
        </w:rPr>
      </w:pPr>
      <w:r w:rsidRPr="003066CF">
        <w:rPr>
          <w:rFonts w:ascii="Arial" w:hAnsi="Arial" w:cs="Arial"/>
          <w:b/>
          <w:sz w:val="20"/>
          <w:szCs w:val="20"/>
        </w:rPr>
        <w:t>Pražské stavební předpisy</w:t>
      </w:r>
    </w:p>
    <w:p w:rsidR="00172A3B" w:rsidRDefault="00172A3B">
      <w:pPr>
        <w:rPr>
          <w:rFonts w:ascii="Arial" w:hAnsi="Arial" w:cs="Arial"/>
          <w:sz w:val="20"/>
          <w:szCs w:val="20"/>
        </w:rPr>
      </w:pPr>
      <w:r>
        <w:rPr>
          <w:rFonts w:ascii="Arial" w:hAnsi="Arial" w:cs="Arial"/>
          <w:sz w:val="20"/>
          <w:szCs w:val="20"/>
        </w:rPr>
        <w:t>Odkazy na technické normy, resp. normové hodnoty, obsahovala zrušená vyhláška č. 26/1999 Sb. hl. m. Prahy, o obecných technických požadavkách na výstavbu v hlavním městě Praze</w:t>
      </w:r>
      <w:r w:rsidR="00F87C2F">
        <w:rPr>
          <w:rFonts w:ascii="Arial" w:hAnsi="Arial" w:cs="Arial"/>
          <w:sz w:val="20"/>
          <w:szCs w:val="20"/>
        </w:rPr>
        <w:t>. Měla být nahrazena nařízením hl. m. Prahy</w:t>
      </w:r>
      <w:r w:rsidR="003066CF">
        <w:rPr>
          <w:rFonts w:ascii="Arial" w:hAnsi="Arial" w:cs="Arial"/>
          <w:sz w:val="20"/>
          <w:szCs w:val="20"/>
        </w:rPr>
        <w:t xml:space="preserve"> č. 11/2014</w:t>
      </w:r>
      <w:r w:rsidR="00F87C2F">
        <w:rPr>
          <w:rFonts w:ascii="Arial" w:hAnsi="Arial" w:cs="Arial"/>
          <w:sz w:val="20"/>
          <w:szCs w:val="20"/>
        </w:rPr>
        <w:t xml:space="preserve"> (nařízení využívalo při odkazu na technické normy institutu tzv. určených norem; ovšem podle zákona č. 22/1997 Sb., může ÚNMZ „určit“ pouze technické normy pro specifikaci požadavků na výrobky, nikoliv na stavby)</w:t>
      </w:r>
      <w:r w:rsidR="003066CF">
        <w:rPr>
          <w:rFonts w:ascii="Arial" w:hAnsi="Arial" w:cs="Arial"/>
          <w:sz w:val="20"/>
          <w:szCs w:val="20"/>
        </w:rPr>
        <w:t>; tak zvané pražské stavební předpisy.</w:t>
      </w:r>
      <w:r w:rsidR="00BB02E1">
        <w:rPr>
          <w:rFonts w:ascii="Arial" w:hAnsi="Arial" w:cs="Arial"/>
          <w:sz w:val="20"/>
          <w:szCs w:val="20"/>
        </w:rPr>
        <w:t xml:space="preserve"> Nařízení bylo přijato v říjnu 2014 a zrušeno pro vážné nedostatky Ministerstvem pro místní rozvoj v lednu 2015. </w:t>
      </w:r>
      <w:r w:rsidR="003066CF">
        <w:rPr>
          <w:rFonts w:ascii="Arial" w:hAnsi="Arial" w:cs="Arial"/>
          <w:sz w:val="20"/>
          <w:szCs w:val="20"/>
        </w:rPr>
        <w:t>V současné době platí na celém území ČR vyhláška č. 268/2009 Sb.</w:t>
      </w:r>
    </w:p>
    <w:p w:rsidR="00172A3B" w:rsidRDefault="00172A3B">
      <w:pPr>
        <w:rPr>
          <w:rFonts w:ascii="Arial" w:hAnsi="Arial" w:cs="Arial"/>
          <w:sz w:val="20"/>
          <w:szCs w:val="20"/>
        </w:rPr>
      </w:pPr>
    </w:p>
    <w:p w:rsidR="003066CF" w:rsidRDefault="003066CF">
      <w:pPr>
        <w:rPr>
          <w:rFonts w:ascii="Arial" w:hAnsi="Arial" w:cs="Arial"/>
          <w:sz w:val="20"/>
          <w:szCs w:val="20"/>
        </w:rPr>
      </w:pPr>
    </w:p>
    <w:p w:rsidR="00083B86" w:rsidRPr="00CF64DF" w:rsidRDefault="00CF64DF" w:rsidP="00CF64DF">
      <w:pPr>
        <w:rPr>
          <w:rFonts w:ascii="Arial" w:hAnsi="Arial" w:cs="Arial"/>
          <w:b/>
          <w:sz w:val="24"/>
          <w:szCs w:val="24"/>
        </w:rPr>
      </w:pPr>
      <w:r w:rsidRPr="00CF64DF">
        <w:rPr>
          <w:rFonts w:ascii="Arial" w:hAnsi="Arial" w:cs="Arial"/>
          <w:b/>
          <w:sz w:val="24"/>
          <w:szCs w:val="24"/>
        </w:rPr>
        <w:t>2</w:t>
      </w:r>
      <w:r>
        <w:rPr>
          <w:rFonts w:ascii="Arial" w:hAnsi="Arial" w:cs="Arial"/>
          <w:b/>
          <w:sz w:val="24"/>
          <w:szCs w:val="24"/>
        </w:rPr>
        <w:t>.</w:t>
      </w:r>
      <w:r w:rsidRPr="00CF64DF">
        <w:rPr>
          <w:rFonts w:ascii="Arial" w:hAnsi="Arial" w:cs="Arial"/>
          <w:b/>
          <w:sz w:val="24"/>
          <w:szCs w:val="24"/>
        </w:rPr>
        <w:t xml:space="preserve"> Odkazy na technické normy ve speciálních předpisech stavebního práva </w:t>
      </w:r>
    </w:p>
    <w:p w:rsidR="002A269B" w:rsidRDefault="003073E6">
      <w:pPr>
        <w:rPr>
          <w:rFonts w:ascii="Arial" w:hAnsi="Arial" w:cs="Arial"/>
          <w:sz w:val="20"/>
          <w:szCs w:val="20"/>
        </w:rPr>
      </w:pPr>
      <w:r w:rsidRPr="00D32ADB">
        <w:rPr>
          <w:rFonts w:ascii="Arial" w:hAnsi="Arial" w:cs="Arial"/>
          <w:b/>
          <w:sz w:val="20"/>
          <w:szCs w:val="20"/>
        </w:rPr>
        <w:t>Technické požadavky na dopravní stavb</w:t>
      </w:r>
      <w:r w:rsidRPr="00D32ADB">
        <w:rPr>
          <w:rFonts w:ascii="Arial" w:hAnsi="Arial" w:cs="Arial"/>
          <w:sz w:val="20"/>
          <w:szCs w:val="20"/>
        </w:rPr>
        <w:t>y jsou stanoveny jinými právními předpisy (tedy nikoliv stavebním zákonem a jeho prováděcími předpisy). Jedná se např. o vyhlášku č. 104/1197 Sb., kterou se provádí zákon o pozemních komunikacích</w:t>
      </w:r>
      <w:r w:rsidR="00871968" w:rsidRPr="00D32ADB">
        <w:rPr>
          <w:rFonts w:ascii="Arial" w:hAnsi="Arial" w:cs="Arial"/>
          <w:sz w:val="20"/>
          <w:szCs w:val="20"/>
        </w:rPr>
        <w:t xml:space="preserve">, ve znění pozdějších předpisů. Tato vyhláška uvádí v příloze č. 1 „Seznam souvisejících českých technických norem“, výčet 66 ČSN, rozdělený na část „Závazné české technické normy“ a „Doporučené české technické normy“, což je v rozporu s platným zněním zákona č. 22/1997 Sb., o technických požadavcích na výrobky a o změně a doplnění některých zákonů, ve znění pozdějších předpisů, podle něhož jsou technické normy nezávazné dokumenty. Podobně vyhláška č. 177/1995 Sb., kterou se vydává stavební a technický řád drah, ve znění pozdějších předpisů, obsahuje v příloze č. 5 seznam 177 </w:t>
      </w:r>
      <w:r w:rsidR="00EC68A6" w:rsidRPr="00D32ADB">
        <w:rPr>
          <w:rFonts w:ascii="Arial" w:hAnsi="Arial" w:cs="Arial"/>
          <w:sz w:val="20"/>
          <w:szCs w:val="20"/>
        </w:rPr>
        <w:t xml:space="preserve">souvisejících </w:t>
      </w:r>
      <w:r w:rsidR="00871968" w:rsidRPr="00D32ADB">
        <w:rPr>
          <w:rFonts w:ascii="Arial" w:hAnsi="Arial" w:cs="Arial"/>
          <w:sz w:val="20"/>
          <w:szCs w:val="20"/>
        </w:rPr>
        <w:t>ČSN a TNŽ</w:t>
      </w:r>
      <w:r w:rsidR="00EC68A6" w:rsidRPr="00D32ADB">
        <w:rPr>
          <w:rFonts w:ascii="Arial" w:hAnsi="Arial" w:cs="Arial"/>
          <w:sz w:val="20"/>
          <w:szCs w:val="20"/>
        </w:rPr>
        <w:t xml:space="preserve"> (technická norma železnic; vnitřní předpis provozovatele dráhy a dopravce). Vyhláška č. 177/1995 Sb., je prováděcím předpisem zákona č. 266/1994 Sb., o drahách.</w:t>
      </w:r>
    </w:p>
    <w:p w:rsidR="00CF64DF" w:rsidRDefault="00CF64DF">
      <w:pPr>
        <w:rPr>
          <w:rFonts w:ascii="Arial" w:hAnsi="Arial" w:cs="Arial"/>
          <w:sz w:val="20"/>
          <w:szCs w:val="20"/>
        </w:rPr>
      </w:pPr>
    </w:p>
    <w:p w:rsidR="00CF64DF" w:rsidRPr="00CF64DF" w:rsidRDefault="00CF64DF">
      <w:pPr>
        <w:rPr>
          <w:rFonts w:ascii="Arial" w:hAnsi="Arial" w:cs="Arial"/>
          <w:b/>
          <w:sz w:val="20"/>
          <w:szCs w:val="20"/>
        </w:rPr>
      </w:pPr>
      <w:r w:rsidRPr="00CF64DF">
        <w:rPr>
          <w:rFonts w:ascii="Arial" w:hAnsi="Arial" w:cs="Arial"/>
          <w:b/>
          <w:sz w:val="20"/>
          <w:szCs w:val="20"/>
        </w:rPr>
        <w:t>Vyhláška č. 23/2008 Sb., o technických podmínkách požární ochrany staveb, ve znění vyhlášky č. 268/2011 Sb.</w:t>
      </w:r>
    </w:p>
    <w:p w:rsidR="00CF64DF" w:rsidRDefault="00172A3B">
      <w:pPr>
        <w:rPr>
          <w:rFonts w:ascii="Arial" w:hAnsi="Arial" w:cs="Arial"/>
          <w:sz w:val="20"/>
          <w:szCs w:val="20"/>
        </w:rPr>
      </w:pPr>
      <w:r>
        <w:rPr>
          <w:rFonts w:ascii="Arial" w:hAnsi="Arial" w:cs="Arial"/>
          <w:sz w:val="20"/>
          <w:szCs w:val="20"/>
        </w:rPr>
        <w:t xml:space="preserve">Vyhláška je prováděcím předpisem </w:t>
      </w:r>
      <w:r w:rsidRPr="00172A3B">
        <w:rPr>
          <w:rFonts w:ascii="Arial" w:hAnsi="Arial" w:cs="Arial"/>
          <w:sz w:val="20"/>
          <w:szCs w:val="20"/>
        </w:rPr>
        <w:t xml:space="preserve">zákona č. 133/1985 Sb., o požární ochraně, </w:t>
      </w:r>
      <w:r>
        <w:rPr>
          <w:rFonts w:ascii="Arial" w:hAnsi="Arial" w:cs="Arial"/>
          <w:sz w:val="20"/>
          <w:szCs w:val="20"/>
        </w:rPr>
        <w:t>ve znění zákona č. 186/2006 Sb. Vyhlášku vydává Ministerstvo vnitra.</w:t>
      </w:r>
    </w:p>
    <w:p w:rsidR="00172A3B" w:rsidRDefault="00172A3B">
      <w:pPr>
        <w:rPr>
          <w:rFonts w:ascii="Arial" w:hAnsi="Arial" w:cs="Arial"/>
          <w:sz w:val="20"/>
          <w:szCs w:val="20"/>
        </w:rPr>
      </w:pPr>
      <w:r>
        <w:rPr>
          <w:rFonts w:ascii="Arial" w:hAnsi="Arial" w:cs="Arial"/>
          <w:sz w:val="20"/>
          <w:szCs w:val="20"/>
        </w:rPr>
        <w:t xml:space="preserve">Příloha č. 1 obsahuje seznam 58 ČSN, na které je odkazováno v ustanoveních vyhlášky. </w:t>
      </w:r>
    </w:p>
    <w:p w:rsidR="00172A3B" w:rsidRDefault="00172A3B">
      <w:pPr>
        <w:rPr>
          <w:rFonts w:ascii="Arial" w:hAnsi="Arial" w:cs="Arial"/>
          <w:sz w:val="20"/>
          <w:szCs w:val="20"/>
        </w:rPr>
      </w:pPr>
    </w:p>
    <w:p w:rsidR="00172A3B" w:rsidRPr="003066CF" w:rsidRDefault="003066CF" w:rsidP="003066CF">
      <w:pPr>
        <w:spacing w:line="240" w:lineRule="auto"/>
        <w:ind w:left="284" w:hanging="284"/>
        <w:jc w:val="left"/>
        <w:rPr>
          <w:rFonts w:ascii="Arial" w:hAnsi="Arial" w:cs="Arial"/>
          <w:b/>
          <w:sz w:val="24"/>
          <w:szCs w:val="24"/>
        </w:rPr>
      </w:pPr>
      <w:r>
        <w:rPr>
          <w:rFonts w:ascii="Arial" w:hAnsi="Arial" w:cs="Arial"/>
          <w:b/>
          <w:sz w:val="24"/>
          <w:szCs w:val="24"/>
        </w:rPr>
        <w:t xml:space="preserve">3. </w:t>
      </w:r>
      <w:r w:rsidR="004D61DD" w:rsidRPr="003066CF">
        <w:rPr>
          <w:rFonts w:ascii="Arial" w:hAnsi="Arial" w:cs="Arial"/>
          <w:b/>
          <w:sz w:val="24"/>
          <w:szCs w:val="24"/>
        </w:rPr>
        <w:t>Odkazy na technické normy v energetických předpisech (ustanovení vztahující se ke stavbám)</w:t>
      </w:r>
    </w:p>
    <w:p w:rsidR="004D61DD" w:rsidRPr="004D61DD" w:rsidRDefault="004D61DD">
      <w:pPr>
        <w:rPr>
          <w:rFonts w:ascii="Arial" w:hAnsi="Arial" w:cs="Arial"/>
          <w:b/>
          <w:sz w:val="20"/>
          <w:szCs w:val="20"/>
        </w:rPr>
      </w:pPr>
      <w:r w:rsidRPr="004D61DD">
        <w:rPr>
          <w:rFonts w:ascii="Arial" w:hAnsi="Arial" w:cs="Arial"/>
          <w:b/>
          <w:sz w:val="20"/>
          <w:szCs w:val="20"/>
        </w:rPr>
        <w:t>Vyhláška č. 78/2013 Sb., o energetické náročnosti budov</w:t>
      </w:r>
    </w:p>
    <w:p w:rsidR="004D61DD" w:rsidRDefault="004D61DD">
      <w:pPr>
        <w:rPr>
          <w:rFonts w:ascii="Arial" w:hAnsi="Arial" w:cs="Arial"/>
          <w:sz w:val="20"/>
          <w:szCs w:val="20"/>
        </w:rPr>
      </w:pPr>
      <w:r>
        <w:rPr>
          <w:rFonts w:ascii="Arial" w:hAnsi="Arial" w:cs="Arial"/>
          <w:sz w:val="20"/>
          <w:szCs w:val="20"/>
        </w:rPr>
        <w:t>Používá odkazu na technické normy v poznámkách pod čarou. Odkazuje na normy</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73 0540-4 Tepelná ochrana budov - Část 4: Výpočtové metody.</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ISO 13 790 - Výpočet potřeby energie pro vytápění a chlazení.</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15316-1 - Tepelné soustavy v budovách - Výpočtová metoda pro stanovení energetických potřeb a účinností soustavy - Část 1: Všeobecné požadavky.</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15316-2 Tepelné soustavy v budovách - Výpočtová metoda pro stanovení energetických potřeb a účinností soustavy - Část 2-1: Sdílení tepla pro vytápění, Část 2-3: Rozvody tepla pro vytápění.</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 xml:space="preserve">ČSN EN 15316-4 - Tepelné soustavy v budovách - Výpočtová metoda pro stanovení energetických potřeb a účinností soustavy - Část 4-1: Zdroje tepla pro vytápění, kotle, Část 4-2: Výroba tepla na vytápění, tepelná čerpadla, Část 4-4: Výroba tepla na vytápění, kombinovaná výroba elektřiny a tepla integrovaná do budovy, Část 4-5: Výroba tepla na vytápění, účinnosti a vlastnosti dálkového vytápění a soustav o velkém objemu, Část 4-6: Výroba tepla na vytápění, </w:t>
      </w:r>
      <w:proofErr w:type="spellStart"/>
      <w:r w:rsidRPr="004D61DD">
        <w:rPr>
          <w:rFonts w:ascii="Arial" w:hAnsi="Arial" w:cs="Arial"/>
          <w:sz w:val="20"/>
          <w:szCs w:val="20"/>
        </w:rPr>
        <w:t>fotovoltaické</w:t>
      </w:r>
      <w:proofErr w:type="spellEnd"/>
      <w:r w:rsidRPr="004D61DD">
        <w:rPr>
          <w:rFonts w:ascii="Arial" w:hAnsi="Arial" w:cs="Arial"/>
          <w:sz w:val="20"/>
          <w:szCs w:val="20"/>
        </w:rPr>
        <w:t xml:space="preserve"> systémy, Část 4-7: Zdroj tepla na spalování biomasy, Část 4-8: Otopné soustavy, teplovzdušné vytápění a stropní sálavé vytápění.</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15665 Větrání budov - Stanovení výkonových kritérií pro větrací systémy obytných budov.</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15241 - Větrání budov - Výpočtové metody ke stanovení energetických ztrát způsobených větráním a infiltrací v komerčních budovách.</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15242 - Větrání budov - Výpočtové metody pro stanovení průtoku vzduchu v budovách včetně filtrace.</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lastRenderedPageBreak/>
        <w:t>ČSN EN 15243 - Větrání budov - Výpočet teplot v místnosti, tepelné zátěže a energie pro budovy s klimatizačními systémy.</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15316-3 - Tepelné soustavy v budovách - Výpočtová metoda pro stanovení energetických potřeb a účinností soustavy, Část 3-2: Soustavy teplé vody, rozvody a Část 3-3: Soustavy teplé vody, příprava.</w:t>
      </w:r>
    </w:p>
    <w:p w:rsidR="004D61DD" w:rsidRPr="004D61DD" w:rsidRDefault="004D61DD" w:rsidP="003066CF">
      <w:pPr>
        <w:ind w:left="454" w:hanging="454"/>
        <w:rPr>
          <w:rFonts w:ascii="Arial" w:hAnsi="Arial" w:cs="Arial"/>
          <w:sz w:val="20"/>
          <w:szCs w:val="20"/>
        </w:rPr>
      </w:pPr>
      <w:r w:rsidRPr="004D61DD">
        <w:rPr>
          <w:rFonts w:ascii="Arial" w:hAnsi="Arial" w:cs="Arial"/>
          <w:sz w:val="20"/>
          <w:szCs w:val="20"/>
        </w:rPr>
        <w:t>ČSN EN 15193 Energetické hodnocení budov - Energetické požadavky na osvětlení.</w:t>
      </w:r>
    </w:p>
    <w:p w:rsidR="004D61DD" w:rsidRDefault="004D61DD" w:rsidP="003066CF">
      <w:pPr>
        <w:ind w:left="454" w:hanging="454"/>
        <w:rPr>
          <w:rFonts w:ascii="Arial" w:hAnsi="Arial" w:cs="Arial"/>
          <w:sz w:val="20"/>
          <w:szCs w:val="20"/>
        </w:rPr>
      </w:pPr>
      <w:r w:rsidRPr="004D61DD">
        <w:rPr>
          <w:rFonts w:ascii="Arial" w:hAnsi="Arial" w:cs="Arial"/>
          <w:sz w:val="20"/>
          <w:szCs w:val="20"/>
        </w:rPr>
        <w:t>ČSN EN 15459 - Energetická náročnost budov - Postupy pro ekonomické hodnocení energetických soustav v budovách.</w:t>
      </w:r>
    </w:p>
    <w:p w:rsidR="003066CF" w:rsidRDefault="003066CF" w:rsidP="003066CF">
      <w:pPr>
        <w:ind w:left="454" w:hanging="454"/>
        <w:rPr>
          <w:rFonts w:ascii="Arial" w:hAnsi="Arial" w:cs="Arial"/>
          <w:sz w:val="20"/>
          <w:szCs w:val="20"/>
        </w:rPr>
      </w:pPr>
    </w:p>
    <w:p w:rsidR="003066CF" w:rsidRDefault="003066CF" w:rsidP="003066CF">
      <w:pPr>
        <w:ind w:left="454" w:hanging="454"/>
        <w:rPr>
          <w:rFonts w:ascii="Arial" w:hAnsi="Arial" w:cs="Arial"/>
          <w:sz w:val="20"/>
          <w:szCs w:val="20"/>
        </w:rPr>
      </w:pPr>
    </w:p>
    <w:p w:rsidR="003066CF" w:rsidRPr="00D32ADB" w:rsidRDefault="003066CF" w:rsidP="003066CF">
      <w:pPr>
        <w:ind w:left="454" w:hanging="454"/>
        <w:rPr>
          <w:rFonts w:ascii="Arial" w:hAnsi="Arial" w:cs="Arial"/>
          <w:sz w:val="20"/>
          <w:szCs w:val="20"/>
        </w:rPr>
      </w:pPr>
    </w:p>
    <w:sectPr w:rsidR="003066CF" w:rsidRPr="00D32ADB" w:rsidSect="00EE34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F13C7"/>
    <w:multiLevelType w:val="hybridMultilevel"/>
    <w:tmpl w:val="FC08686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ABC7863"/>
    <w:multiLevelType w:val="hybridMultilevel"/>
    <w:tmpl w:val="1EC27B6C"/>
    <w:lvl w:ilvl="0" w:tplc="2F52B396">
      <w:start w:val="7"/>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F1D0C07"/>
    <w:multiLevelType w:val="hybridMultilevel"/>
    <w:tmpl w:val="CF1CFB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A5450"/>
    <w:rsid w:val="00083B86"/>
    <w:rsid w:val="000B1B41"/>
    <w:rsid w:val="00172A3B"/>
    <w:rsid w:val="001B1CA8"/>
    <w:rsid w:val="001B443F"/>
    <w:rsid w:val="002A269B"/>
    <w:rsid w:val="003066CF"/>
    <w:rsid w:val="003073E6"/>
    <w:rsid w:val="004D61DD"/>
    <w:rsid w:val="005E064C"/>
    <w:rsid w:val="00657038"/>
    <w:rsid w:val="007C020B"/>
    <w:rsid w:val="00871968"/>
    <w:rsid w:val="00893757"/>
    <w:rsid w:val="008B55E1"/>
    <w:rsid w:val="008C6068"/>
    <w:rsid w:val="00904D6D"/>
    <w:rsid w:val="00991798"/>
    <w:rsid w:val="00A10E35"/>
    <w:rsid w:val="00B34884"/>
    <w:rsid w:val="00B77C32"/>
    <w:rsid w:val="00BA5450"/>
    <w:rsid w:val="00BA77E0"/>
    <w:rsid w:val="00BB02E1"/>
    <w:rsid w:val="00CF64DF"/>
    <w:rsid w:val="00D32ADB"/>
    <w:rsid w:val="00EB4F11"/>
    <w:rsid w:val="00EC68A6"/>
    <w:rsid w:val="00EE3429"/>
    <w:rsid w:val="00F87C2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before="120" w:line="2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342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BA5450"/>
    <w:rPr>
      <w:color w:val="0000FF" w:themeColor="hyperlink"/>
      <w:u w:val="single"/>
    </w:rPr>
  </w:style>
  <w:style w:type="character" w:customStyle="1" w:styleId="apple-converted-space">
    <w:name w:val="apple-converted-space"/>
    <w:basedOn w:val="Standardnpsmoodstavce"/>
    <w:rsid w:val="00BA5450"/>
  </w:style>
  <w:style w:type="paragraph" w:styleId="Odstavecseseznamem">
    <w:name w:val="List Paragraph"/>
    <w:basedOn w:val="Normln"/>
    <w:uiPriority w:val="34"/>
    <w:qFormat/>
    <w:rsid w:val="00307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mr.cz/cs/Stavebni-rad-a-bytova-politika/Uzemni-planovani-a-stavebni-rad/Pravo-a-legislativa-(1)" TargetMode="External"/><Relationship Id="rId3" Type="http://schemas.openxmlformats.org/officeDocument/2006/relationships/settings" Target="settings.xml"/><Relationship Id="rId7" Type="http://schemas.openxmlformats.org/officeDocument/2006/relationships/hyperlink" Target="http://www.mmr.cz/cs/Stavebni-rad-a-bytova-politika/Uzemni-planovani-a-stavebni-r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mr.cz/cs/Stavebni-rad-a-bytova-politika" TargetMode="External"/><Relationship Id="rId11" Type="http://schemas.openxmlformats.org/officeDocument/2006/relationships/theme" Target="theme/theme1.xml"/><Relationship Id="rId5" Type="http://schemas.openxmlformats.org/officeDocument/2006/relationships/hyperlink" Target="http://www.mmr.c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mr.cz/cs/Stavebni-rad-a-bytova-politika/Uzemni-planovani-a-stavebni-rad/Pravo-a-legislativa-(1)/Normy-CSN-a-souvisejici-informace"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1417</Words>
  <Characters>8361</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Báčová</dc:creator>
  <cp:keywords/>
  <dc:description/>
  <cp:lastModifiedBy>Marie Báčová</cp:lastModifiedBy>
  <cp:revision>2</cp:revision>
  <dcterms:created xsi:type="dcterms:W3CDTF">2015-10-14T09:28:00Z</dcterms:created>
  <dcterms:modified xsi:type="dcterms:W3CDTF">2015-10-14T15:17:00Z</dcterms:modified>
</cp:coreProperties>
</file>