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76.wmf" ContentType="image/x-wmf"/>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dpis1"/>
        <w:numPr>
          <w:ilvl w:val="0"/>
          <w:numId w:val="1"/>
        </w:numPr>
        <w:spacing w:before="0" w:after="0"/>
        <w:rPr>
          <w:color w:val="000000"/>
        </w:rPr>
      </w:pPr>
      <w:r>
        <w:rPr>
          <w:b w:val="false"/>
          <w:color w:val="000000"/>
          <w:sz w:val="28"/>
          <w:szCs w:val="28"/>
        </w:rPr>
        <w:t>Návrhová část Strategického plánu hl. m. Prahy, Aktualizace 2016</w:t>
      </w:r>
      <w:r>
        <w:rPr>
          <w:color w:val="000000"/>
        </w:rPr>
        <w:br/>
      </w:r>
    </w:p>
    <w:p>
      <w:pPr>
        <w:pStyle w:val="Nadpis1"/>
        <w:numPr>
          <w:ilvl w:val="0"/>
          <w:numId w:val="1"/>
        </w:numPr>
        <w:spacing w:before="0" w:after="0"/>
        <w:rPr>
          <w:color w:val="000000"/>
        </w:rPr>
      </w:pPr>
      <w:r>
        <w:rPr>
          <w:color w:val="000000"/>
        </w:rPr>
        <w:t>KOMENTÁŘE KE STRATEGICKÝM CÍLŮM A OPATŘENÍM</w:t>
      </w:r>
    </w:p>
    <w:p>
      <w:pPr>
        <w:pStyle w:val="Normal"/>
        <w:rPr>
          <w:rFonts w:cs="Trebuchet MS" w:ascii="Trebuchet MS" w:hAnsi="Trebuchet MS"/>
        </w:rPr>
      </w:pPr>
      <w:r>
        <w:rPr>
          <w:rFonts w:cs="Trebuchet MS" w:ascii="Trebuchet MS" w:hAnsi="Trebuchet MS"/>
        </w:rPr>
      </w:r>
    </w:p>
    <w:p>
      <w:pPr>
        <w:pStyle w:val="Normal"/>
        <w:jc w:val="left"/>
        <w:rPr>
          <w:rFonts w:cs="Trebuchet MS" w:ascii="Trebuchet MS" w:hAnsi="Trebuchet MS"/>
          <w:i/>
        </w:rPr>
      </w:pPr>
      <w:r>
        <w:rPr>
          <w:rFonts w:cs="Trebuchet MS" w:ascii="Trebuchet MS" w:hAnsi="Trebuchet MS"/>
          <w:i/>
        </w:rPr>
        <w:t>Vyplňte prosím Vaše komentáře k jednotlivým cílům, koncepcím a opatřením. Do prostředního sloupce napište číslo strategického cíle, koncepce a opatření, kterého se Vaše připomínka v pravém sloupci týká. V případě komentáře k úvodním částem není nutné druhý sloupec vyplňovat.</w:t>
      </w:r>
    </w:p>
    <w:p>
      <w:pPr>
        <w:pStyle w:val="Normal"/>
        <w:jc w:val="left"/>
        <w:rPr>
          <w:rFonts w:cs="Trebuchet MS" w:ascii="Trebuchet MS" w:hAnsi="Trebuchet MS"/>
        </w:rPr>
      </w:pPr>
      <w:r>
        <w:rPr>
          <w:rFonts w:cs="Trebuchet MS" w:ascii="Trebuchet MS" w:hAnsi="Trebuchet MS"/>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951"/>
        <w:gridCol w:w="3731"/>
        <w:gridCol w:w="10"/>
        <w:gridCol w:w="1285"/>
        <w:gridCol w:w="2455"/>
      </w:tblGrid>
      <w:tr>
        <w:trPr>
          <w:cantSplit w:val="false"/>
        </w:trPr>
        <w:tc>
          <w:tcPr>
            <w:tcW w:w="1951"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JMÉNO</w:t>
            </w:r>
          </w:p>
        </w:tc>
        <w:tc>
          <w:tcPr>
            <w:tcW w:w="37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Adam Zábranský</w:t>
            </w:r>
          </w:p>
        </w:tc>
        <w:tc>
          <w:tcPr>
            <w:tcW w:w="1295" w:type="dxa"/>
            <w:gridSpan w:val="2"/>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DATUM</w:t>
            </w:r>
          </w:p>
        </w:tc>
        <w:tc>
          <w:tcPr>
            <w:tcW w:w="24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března 2016</w:t>
            </w:r>
          </w:p>
        </w:tc>
      </w:tr>
      <w:tr>
        <w:trPr>
          <w:cantSplit w:val="false"/>
        </w:trPr>
        <w:tc>
          <w:tcPr>
            <w:tcW w:w="1951"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ORGANIZACE</w:t>
            </w:r>
          </w:p>
        </w:tc>
        <w:tc>
          <w:tcPr>
            <w:tcW w:w="3741"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Zastupitelský klub Pirátů v Praze</w:t>
            </w:r>
          </w:p>
        </w:tc>
        <w:tc>
          <w:tcPr>
            <w:tcW w:w="3740" w:type="dxa"/>
            <w:gridSpan w:val="2"/>
            <w:tcBorders>
              <w:top w:val="nil"/>
              <w:left w:val="single" w:sz="4" w:space="0" w:color="000000"/>
              <w:bottom w:val="nil"/>
              <w:insideH w:val="nil"/>
              <w:right w:val="nil"/>
              <w:insideV w:val="nil"/>
            </w:tcBorders>
            <w:shd w:fill="auto" w:val="clear"/>
            <w:tcMar>
              <w:left w:w="-5" w:type="dxa"/>
              <w:right w:w="0" w:type="dxa"/>
            </w:tcMar>
          </w:tcPr>
          <w:p>
            <w:pPr>
              <w:pStyle w:val="Normal"/>
              <w:snapToGrid w:val="false"/>
              <w:spacing w:before="80" w:after="120"/>
              <w:rPr/>
            </w:pPr>
            <w:r>
              <w:rPr/>
            </w:r>
          </w:p>
        </w:tc>
      </w:tr>
    </w:tbl>
    <w:p>
      <w:pPr>
        <w:pStyle w:val="Normal"/>
        <w:rPr>
          <w:rFonts w:cs="Times New Roman" w:ascii="Times New Roman" w:hAnsi="Times New Roman"/>
        </w:rPr>
      </w:pPr>
      <w:r>
        <w:rPr>
          <w:rFonts w:cs="Times New Roman" w:ascii="Times New Roman" w:hAnsi="Times New Roman"/>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817"/>
        <w:gridCol w:w="1418"/>
        <w:gridCol w:w="7204"/>
      </w:tblGrid>
      <w:tr>
        <w:trPr>
          <w:tblHeader w:val="true"/>
          <w:trHeight w:val="1199"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ČÍSLO</w:t>
            </w:r>
          </w:p>
          <w:p>
            <w:pPr>
              <w:pStyle w:val="Normal"/>
              <w:spacing w:before="80" w:after="120"/>
              <w:rPr>
                <w:rFonts w:cs="Trebuchet MS" w:ascii="Trebuchet MS" w:hAnsi="Trebuchet MS"/>
                <w:b/>
              </w:rPr>
            </w:pPr>
            <w:r>
              <w:rPr>
                <w:rFonts w:cs="Trebuchet MS" w:ascii="Trebuchet MS" w:hAnsi="Trebuchet MS"/>
                <w:b/>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jc w:val="left"/>
              <w:rPr>
                <w:rFonts w:cs="Trebuchet MS" w:ascii="Trebuchet MS" w:hAnsi="Trebuchet MS"/>
                <w:b/>
              </w:rPr>
            </w:pPr>
            <w:r>
              <w:rPr>
                <w:rFonts w:cs="Trebuchet MS" w:ascii="Trebuchet MS" w:hAnsi="Trebuchet MS"/>
                <w:b/>
              </w:rPr>
              <w:t xml:space="preserve">ČÍSLO </w:t>
            </w:r>
          </w:p>
          <w:p>
            <w:pPr>
              <w:pStyle w:val="Normal"/>
              <w:jc w:val="left"/>
              <w:rPr>
                <w:rFonts w:cs="Trebuchet MS" w:ascii="Trebuchet MS" w:hAnsi="Trebuchet MS"/>
                <w:b/>
              </w:rPr>
            </w:pPr>
            <w:r>
              <w:rPr>
                <w:rFonts w:cs="Trebuchet MS" w:ascii="Trebuchet MS" w:hAnsi="Trebuchet MS"/>
                <w:b/>
              </w:rPr>
              <w:t>STR. CÍLE/</w:t>
            </w:r>
          </w:p>
          <w:p>
            <w:pPr>
              <w:pStyle w:val="Normal"/>
              <w:jc w:val="left"/>
              <w:rPr>
                <w:rFonts w:cs="Trebuchet MS" w:ascii="Trebuchet MS" w:hAnsi="Trebuchet MS"/>
                <w:b/>
              </w:rPr>
            </w:pPr>
            <w:r>
              <w:rPr>
                <w:rFonts w:cs="Trebuchet MS" w:ascii="Trebuchet MS" w:hAnsi="Trebuchet MS"/>
                <w:b/>
              </w:rPr>
              <w:t>STRATEGIE/</w:t>
            </w:r>
          </w:p>
          <w:p>
            <w:pPr>
              <w:pStyle w:val="Normal"/>
              <w:spacing w:before="80" w:after="120"/>
              <w:jc w:val="left"/>
              <w:rPr>
                <w:rFonts w:cs="Trebuchet MS" w:ascii="Trebuchet MS" w:hAnsi="Trebuchet MS"/>
                <w:b/>
              </w:rPr>
            </w:pPr>
            <w:r>
              <w:rPr>
                <w:rFonts w:cs="Trebuchet MS" w:ascii="Trebuchet MS" w:hAnsi="Trebuchet MS"/>
                <w:b/>
              </w:rPr>
              <w:t>OPATŘENÍ</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03" w:type="dxa"/>
            </w:tcMar>
          </w:tcPr>
          <w:p>
            <w:pPr>
              <w:pStyle w:val="Normal"/>
              <w:widowControl/>
              <w:bidi w:val="0"/>
              <w:spacing w:lineRule="atLeast" w:line="240" w:before="80" w:after="120"/>
              <w:jc w:val="both"/>
              <w:rPr>
                <w:rFonts w:cs="Trebuchet MS" w:ascii="Trebuchet MS" w:hAnsi="Trebuchet MS"/>
                <w:b/>
              </w:rPr>
            </w:pPr>
            <w:r>
              <w:rPr>
                <w:rFonts w:cs="Trebuchet MS" w:ascii="Trebuchet MS" w:hAnsi="Trebuchet MS"/>
                <w:b/>
              </w:rPr>
              <w:t>TEXT KOMENTÁŘE</w:t>
            </w:r>
          </w:p>
        </w:tc>
      </w:tr>
      <w:tr>
        <w:trPr>
          <w:trHeight w:val="1757"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Obecná poznámka</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Fakt</w:t>
            </w:r>
            <w:r>
              <w:rPr>
                <w:rFonts w:cs="Times New Roman" w:ascii="Times New Roman" w:hAnsi="Times New Roman"/>
                <w:i w:val="false"/>
                <w:iCs w:val="false"/>
              </w:rPr>
              <w:t xml:space="preserve">, že Strategický plán (dále jen „Plán) neobsahuje žádné termíny </w:t>
            </w:r>
            <w:r>
              <w:rPr>
                <w:rFonts w:cs="Times New Roman" w:ascii="Times New Roman" w:hAnsi="Times New Roman"/>
                <w:i w:val="false"/>
                <w:iCs w:val="false"/>
              </w:rPr>
              <w:t>plnění a ani se nesnaží u jednotlivých strategických cílů/strategií/opatření odhadnout jejich finanční náročnost či zdroje financování, přičemž tyto zásadní záležitosti v plné míře ponechává na čtyřletých realizačních plánech a jednoletých prováděcích plánech, dle našeho názoru oslabuje význam Plánu, protože ten se tak stává pouze jakýmsi seznamem přání. Navíc vzhledem k tomu, že nebyla nijak hodnocena finanční náročnost navrhovaných aktivit, tak v současné době nevíme, zda jsme alespoň rámcově schopni Plán naplnit, což považujeme za nešťastné. Je totiž možné, že brzy zjistíme, že nejsme schopni Plán realizovat v plné šíři a potom se stejně budeme muset rozhodovat, co nakonec realizujeme a co ne. Proto by bylo vhodné dát do Plánu pouze takové aktivity, které jsou prioritní, a ne všechny, které tvůrce v jednotlivých oblastech napadly.</w:t>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Obecně vesměs souhlasíme s prioritami Plánu, nicméně je v nich mnoho nekonkrétních formulací, které je možné vykládat různým způsobem. Pro jejich upřesnění by měly sloužit příklady aktivit, které ovšem ne vždy dostatečně vyjasní, co má autor na mysli.</w:t>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Chápeme, že příklady aktivit nejsou pro další implementaci Plánu závazné, přesto jim musíme vytknout, že jsou často značně nekonkrétní a potom se z nich stávají spíše programové teze, které vypovídají o tom, čeho chceme dosáhnout, ale jen velmi mlhavě o tom, jakým způsobem – což je na úrovni aktivit špatně. Plán se tak stává na jednu stranu více konsensuálním (každý si pod nekonkrétní formulací může představit to, co se mu líbí), ovšem za tu cenu, že později ho bude možné zneužít pro obhájení kroků, se kterými ne všichni, kdo Plán původně podpořili, souhlasí. V obecné rovině by například vždy, když je zmiňována podpora něčeho, mělo být upřesněno, jaký druh podpory se má na mysli – zda finanční, administrativní či nějaká jiná. Nechtěli bychom, aby výsledkem implementace Plánu bylo zavedení desítek nových grantových programů. Konkrétní příklady nekonkrétních aktivit uvedeme v další části, nicméně vzhledem k nezávaznosti aktivit se zaměříme pouze na ty, které považujeme za nejzásadnější.</w:t>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 xml:space="preserve">Za naprosto </w:t>
            </w:r>
            <w:r>
              <w:rPr>
                <w:rFonts w:cs="Times New Roman" w:ascii="Times New Roman" w:hAnsi="Times New Roman"/>
                <w:i w:val="false"/>
                <w:iCs w:val="false"/>
              </w:rPr>
              <w:t>klíčový</w:t>
            </w:r>
            <w:r>
              <w:rPr>
                <w:rFonts w:cs="Times New Roman" w:ascii="Times New Roman" w:hAnsi="Times New Roman"/>
                <w:i w:val="false"/>
                <w:iCs w:val="false"/>
              </w:rPr>
              <w:t xml:space="preserve"> považujeme </w:t>
            </w:r>
            <w:r>
              <w:rPr>
                <w:rFonts w:cs="Times New Roman" w:ascii="Times New Roman" w:hAnsi="Times New Roman"/>
                <w:i w:val="false"/>
                <w:iCs w:val="false"/>
              </w:rPr>
              <w:t xml:space="preserve">způsob implementace </w:t>
            </w:r>
            <w:r>
              <w:rPr>
                <w:rFonts w:cs="Times New Roman" w:ascii="Times New Roman" w:hAnsi="Times New Roman"/>
                <w:i w:val="false"/>
                <w:iCs w:val="false"/>
              </w:rPr>
              <w:t>Plánu</w:t>
            </w:r>
            <w:r>
              <w:rPr>
                <w:rFonts w:cs="Times New Roman" w:ascii="Times New Roman" w:hAnsi="Times New Roman"/>
                <w:i w:val="false"/>
                <w:iCs w:val="false"/>
              </w:rPr>
              <w:t xml:space="preserve">. </w:t>
            </w:r>
            <w:r>
              <w:rPr>
                <w:rFonts w:cs="Times New Roman" w:ascii="Times New Roman" w:hAnsi="Times New Roman"/>
                <w:i w:val="false"/>
                <w:iCs w:val="false"/>
              </w:rPr>
              <w:t xml:space="preserve">Plně souhlasíme s tím, co navrhuje Plán, tedy aby se pravidelně vytvářely </w:t>
            </w:r>
            <w:r>
              <w:rPr>
                <w:rFonts w:cs="Times New Roman" w:ascii="Times New Roman" w:hAnsi="Times New Roman"/>
                <w:i w:val="false"/>
                <w:iCs w:val="false"/>
              </w:rPr>
              <w:t>realizační a prováděcí plány, ve kterých by byly stanoveny konkrétní odpovědné osoby a termíny a které by se průběžně vyhodnocovaly. Projektové řízení se na úrovni hl. m. Prahy snažíme prosadit od našeho nástupu do funkcí. Doufáme, že tento záměr se podaří prosadit, a to nejen při realizaci Plánu, ale i při realizaci dalších strategií hl. m. Prahy (a že jich není málo).</w:t>
            </w:r>
          </w:p>
        </w:tc>
      </w:tr>
      <w:tr>
        <w:trPr>
          <w:trHeight w:val="1040"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3"/>
              </w:numPr>
              <w:autoSpaceDE w:val="false"/>
              <w:snapToGrid w:val="false"/>
              <w:spacing w:before="80" w:after="120"/>
              <w:rPr>
                <w:rFonts w:cs="Times New Roman" w:ascii="Times New Roman" w:hAnsi="Times New Roman"/>
                <w:color w:val="FF0000"/>
                <w:lang w:val="en-US"/>
              </w:rPr>
            </w:pPr>
            <w:r>
              <w:rPr>
                <w:rFonts w:cs="Times New Roman" w:ascii="Times New Roman" w:hAnsi="Times New Roman"/>
                <w:color w:val="FF0000"/>
                <w:lang w:val="en-U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before="80" w:after="120"/>
              <w:jc w:val="left"/>
              <w:rPr>
                <w:rFonts w:cs="Times New Roman" w:ascii="Times New Roman" w:hAnsi="Times New Roman"/>
                <w:lang w:val="en-US"/>
              </w:rPr>
            </w:pPr>
            <w:r>
              <w:rPr>
                <w:rFonts w:cs="Times New Roman" w:ascii="Times New Roman" w:hAnsi="Times New Roman"/>
                <w:lang w:val="en-US"/>
              </w:rPr>
              <w:t>1.1.C2</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jc w:val="left"/>
              <w:rPr>
                <w:rFonts w:cs="Times New Roman" w:ascii="Times New Roman" w:hAnsi="Times New Roman"/>
                <w:i w:val="false"/>
                <w:iCs w:val="false"/>
              </w:rPr>
            </w:pPr>
            <w:r>
              <w:rPr>
                <w:rFonts w:cs="Times New Roman" w:ascii="Times New Roman" w:hAnsi="Times New Roman"/>
                <w:i w:val="false"/>
                <w:iCs w:val="false"/>
              </w:rPr>
              <w:t>U aktivity „aktivní podílení se na přípravě zákona o sociálním bydlení (formou připomínek, vlastních pozměňovacích návrhů atd.)“ není vůbec specifikováno, jakým směrem by se naše připomínky/návrhy měly ubírat</w:t>
            </w:r>
          </w:p>
        </w:tc>
      </w:tr>
      <w:tr>
        <w:trPr>
          <w:trHeight w:val="1185"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3"/>
              </w:numPr>
              <w:autoSpaceDE w:val="false"/>
              <w:snapToGrid w:val="false"/>
              <w:spacing w:before="80" w:after="120"/>
              <w:rPr>
                <w:rFonts w:cs="Times New Roman" w:ascii="Times New Roman" w:hAnsi="Times New Roman"/>
                <w:lang w:val="en-US"/>
              </w:rPr>
            </w:pPr>
            <w:r>
              <w:rPr>
                <w:rFonts w:cs="Times New Roman" w:ascii="Times New Roman" w:hAnsi="Times New Roman"/>
                <w:lang w:val="en-U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before="80" w:after="120"/>
              <w:jc w:val="left"/>
              <w:rPr>
                <w:rFonts w:cs="Times New Roman" w:ascii="Times New Roman" w:hAnsi="Times New Roman"/>
                <w:lang w:val="en-US"/>
              </w:rPr>
            </w:pPr>
            <w:r>
              <w:rPr>
                <w:rFonts w:cs="Times New Roman" w:ascii="Times New Roman" w:hAnsi="Times New Roman"/>
                <w:lang w:val="en-US"/>
              </w:rPr>
              <w:t>1.2.6 (indikátor)</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jc w:val="left"/>
              <w:rPr>
                <w:rFonts w:cs="Times New Roman" w:ascii="Times New Roman" w:hAnsi="Times New Roman"/>
              </w:rPr>
            </w:pPr>
            <w:r>
              <w:rPr>
                <w:rFonts w:cs="Times New Roman" w:ascii="Times New Roman" w:hAnsi="Times New Roman"/>
              </w:rPr>
              <w:t>„</w:t>
            </w:r>
            <w:r>
              <w:rPr>
                <w:rFonts w:cs="Times New Roman" w:ascii="Times New Roman" w:hAnsi="Times New Roman"/>
              </w:rPr>
              <w:t>Nárůst objemu grantových prostředků poskytovaných MČ a HMP pro kulturně komunitní rozvoj v lokalitách Prahy</w:t>
            </w:r>
            <w:r>
              <w:rPr>
                <w:rFonts w:cs="Times New Roman" w:ascii="Times New Roman" w:hAnsi="Times New Roman"/>
              </w:rPr>
              <w:t xml:space="preserve">“ </w:t>
            </w:r>
            <w:r>
              <w:rPr>
                <w:rFonts w:cs="Times New Roman" w:ascii="Times New Roman" w:hAnsi="Times New Roman"/>
              </w:rPr>
              <w:t>nepovažujeme za vhodný indikátor – to, že budeme dávat někam více peněz, nutně neznamená, že tyto prostředky budou využívány účelně</w:t>
            </w:r>
          </w:p>
        </w:tc>
      </w:tr>
      <w:tr>
        <w:trPr>
          <w:trHeight w:val="1208"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3"/>
              </w:numPr>
              <w:autoSpaceDE w:val="false"/>
              <w:snapToGrid w:val="false"/>
              <w:spacing w:before="80" w:after="120"/>
              <w:rPr>
                <w:rFonts w:cs="Times New Roman" w:ascii="Times New Roman" w:hAnsi="Times New Roman"/>
                <w:lang w:val="en-US"/>
              </w:rPr>
            </w:pPr>
            <w:r>
              <w:rPr>
                <w:rFonts w:cs="Times New Roman" w:ascii="Times New Roman" w:hAnsi="Times New Roman"/>
                <w:lang w:val="en-U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before="80" w:after="120"/>
              <w:jc w:val="left"/>
              <w:rPr>
                <w:rFonts w:cs="Times New Roman" w:ascii="Times New Roman" w:hAnsi="Times New Roman"/>
                <w:lang w:val="en-US"/>
              </w:rPr>
            </w:pPr>
            <w:r>
              <w:rPr>
                <w:rFonts w:cs="Times New Roman" w:ascii="Times New Roman" w:hAnsi="Times New Roman"/>
                <w:lang w:val="en-US"/>
              </w:rPr>
              <w:t>1.2A4</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jc w:val="left"/>
              <w:rPr>
                <w:rFonts w:cs="Times New Roman" w:ascii="Times New Roman" w:hAnsi="Times New Roman"/>
              </w:rPr>
            </w:pPr>
            <w:r>
              <w:rPr>
                <w:rFonts w:cs="Times New Roman" w:ascii="Times New Roman" w:hAnsi="Times New Roman"/>
              </w:rPr>
              <w:t>„</w:t>
            </w:r>
            <w:r>
              <w:rPr>
                <w:rFonts w:cs="Times New Roman" w:ascii="Times New Roman" w:hAnsi="Times New Roman"/>
              </w:rPr>
              <w:t>Vytvořit konkrétní poptávku a alokovat finanční prostředky pro kulturní instituce k tvorbě programů integrace cizinců skrze programy kulturních institucí.</w:t>
            </w:r>
            <w:r>
              <w:rPr>
                <w:rFonts w:cs="Times New Roman" w:ascii="Times New Roman" w:hAnsi="Times New Roman"/>
              </w:rPr>
              <w:t xml:space="preserve">“ - </w:t>
            </w:r>
            <w:r>
              <w:rPr>
                <w:rFonts w:cs="Times New Roman" w:ascii="Times New Roman" w:hAnsi="Times New Roman"/>
              </w:rPr>
              <w:t>asi je to jen špatná formulace, ale jestli po těchto programech není poptávka, proč bychom ji měli vytvářet?</w:t>
            </w:r>
          </w:p>
        </w:tc>
      </w:tr>
      <w:tr>
        <w:trPr>
          <w:trHeight w:val="1246"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1.2B4</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w:t>
            </w:r>
            <w:r>
              <w:rPr>
                <w:rFonts w:cs="Times New Roman" w:ascii="Times New Roman" w:hAnsi="Times New Roman"/>
              </w:rPr>
              <w:t>vyčlenit prostředky na získávání objektů areálů, které tradičně plnily roli odpočinkových a komunitních areálů i pro veřejnost, nejen pro soukromé vlastníky a nyní jsou dražebních řízeních např. jako majetek po CKM</w:t>
            </w:r>
            <w:r>
              <w:rPr>
                <w:rFonts w:cs="Times New Roman" w:ascii="Times New Roman" w:hAnsi="Times New Roman"/>
              </w:rPr>
              <w:t xml:space="preserve">“ - </w:t>
            </w:r>
            <w:r>
              <w:rPr>
                <w:rFonts w:cs="Times New Roman" w:ascii="Times New Roman" w:hAnsi="Times New Roman"/>
              </w:rPr>
              <w:t>které to jsou? (vhodné by bylo uvést alespoň pár příkladů)</w:t>
            </w:r>
          </w:p>
        </w:tc>
      </w:tr>
      <w:tr>
        <w:trPr>
          <w:trHeight w:val="735"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1.2C</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Celá tato koncepce je žalostně krátká, až takto působí téměř jako výsměch – vhodnější by dle našeho názoru bylo její začlenění do strategického cíle 3.2</w:t>
            </w:r>
          </w:p>
        </w:tc>
      </w:tr>
      <w:tr>
        <w:trPr>
          <w:trHeight w:val="960"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1.4C2</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Jako další příklad aktivity navrhujeme podporu komunitou podporovaného zemědělství (minimálně formou propagace), a to pro jeho vzdělávací potenciál v oblasti vztahu člověka a zemědělské půdy</w:t>
            </w:r>
          </w:p>
        </w:tc>
      </w:tr>
      <w:tr>
        <w:trPr>
          <w:trHeight w:val="1412"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1.5A1</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w:t>
            </w:r>
            <w:r>
              <w:rPr>
                <w:rFonts w:cs="Times New Roman" w:ascii="Times New Roman" w:hAnsi="Times New Roman"/>
              </w:rPr>
              <w:t>vytvoření multimodální aplikace pro plánování cesty různými způsoby dopravy (veřejnou dopravou, autem, na kole, pěšky), včetně možnosti odbavení a placení za služby</w:t>
            </w:r>
            <w:r>
              <w:rPr>
                <w:rFonts w:cs="Times New Roman" w:ascii="Times New Roman" w:hAnsi="Times New Roman"/>
              </w:rPr>
              <w:t xml:space="preserve">“ - </w:t>
            </w:r>
            <w:r>
              <w:rPr>
                <w:rFonts w:cs="Times New Roman" w:ascii="Times New Roman" w:hAnsi="Times New Roman"/>
              </w:rPr>
              <w:t>město by nemělo vytvářet aplikace, nýbrž otevírat data, aby tyto aplikace mohl vytvářet kdokoliv – je to levnější a efektivnější</w:t>
            </w:r>
          </w:p>
        </w:tc>
      </w:tr>
      <w:tr>
        <w:trPr>
          <w:trHeight w:val="1757"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1.5A4</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Dostupnost WIFI signálu v MHD nepovažujeme za zásadní prioritu, zvlášť pokud by to mělo být spojeno s vysokými náklady</w:t>
            </w:r>
          </w:p>
        </w:tc>
      </w:tr>
      <w:tr>
        <w:trPr>
          <w:trHeight w:val="1757"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1.5A6</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Nízkoemisní zónu považujeme za problematickou, minimálně kvůli reálnému dopadu pouze na méně majetné občany. Rozumnější je dle našeho názoru snažit se v centru města omezit neúnosnou míru automobilové dopravy nediskriminačním způsobem.</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1.5B3</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U rozvoje železniční sítě nám chybí řešení pro případ, že SŽDC nebude chtít spolupracovat. Můžeme s tím něco dělat (např. začít stavět vlastní železniční tratě)?</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1.5D2</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Nesouhlasíme s dostavbou Městského okruhu v původní verzi, dle našeho názoru se jedná o příliš rozsáhlou investici, kterou si nemůžeme dovolit (respektive si myslíme, že jsou vhodnější způsoby, jak utratit další desítky miliard korun).</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2.1.5 (indikátor)</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Kongresový turismus nepovažujeme za oblast hodnou nějaké zvláštní podpory, proto ani indikátor „Vyšší počet participantů mezinárodních kongresových akcí v Praze“ nepovažujeme za tak důležitý, aby byl v Plánu</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3.2.</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Participativní rozpočet</w:t>
            </w:r>
          </w:p>
          <w:p>
            <w:pPr>
              <w:pStyle w:val="Normal"/>
              <w:snapToGrid w:val="false"/>
              <w:spacing w:before="80" w:after="120"/>
              <w:rPr>
                <w:rFonts w:cs="Times New Roman" w:ascii="Times New Roman" w:hAnsi="Times New Roman"/>
              </w:rPr>
            </w:pPr>
            <w:r>
              <w:rPr>
                <w:rFonts w:cs="Times New Roman" w:ascii="Times New Roman" w:hAnsi="Times New Roman"/>
              </w:rPr>
              <w:t>plán investičních akcí s možností zpětné vazby</w:t>
            </w:r>
          </w:p>
        </w:tc>
      </w:tr>
    </w:tbl>
    <w:p>
      <w:pPr>
        <w:pStyle w:val="Normal"/>
        <w:spacing w:lineRule="auto" w:line="240" w:before="0" w:after="0"/>
        <w:rPr>
          <w:rFonts w:cs="Times New Roman" w:ascii="Times New Roman" w:hAnsi="Times New Roman"/>
          <w:sz w:val="2"/>
          <w:szCs w:val="2"/>
        </w:rPr>
      </w:pPr>
      <w:r>
        <w:rPr>
          <w:rFonts w:cs="Times New Roman" w:ascii="Times New Roman" w:hAnsi="Times New Roman"/>
          <w:sz w:val="2"/>
          <w:szCs w:val="2"/>
        </w:rPr>
      </w:r>
    </w:p>
    <w:sectPr>
      <w:headerReference w:type="default" r:id="rId2"/>
      <w:footerReference w:type="default" r:id="rId3"/>
      <w:type w:val="nextPage"/>
      <w:pgSz w:w="11906" w:h="16820"/>
      <w:pgMar w:left="1276" w:right="1418" w:header="283" w:top="1440" w:footer="680"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ee"/>
    <w:family w:val="roman"/>
    <w:pitch w:val="variable"/>
  </w:font>
  <w:font w:name="Trebuchet MS">
    <w:charset w:val="ee"/>
    <w:family w:val="swiss"/>
    <w:pitch w:val="variable"/>
  </w:font>
  <w:font w:name="Arial">
    <w:charset w:val="ee"/>
    <w:family w:val="swiss"/>
    <w:pitch w:val="variable"/>
  </w:font>
  <w:font w:name="Symbol">
    <w:charset w:val="01"/>
    <w:family w:val="roman"/>
    <w:pitch w:val="variable"/>
  </w:font>
  <w:font w:name="Courier New">
    <w:charset w:val="ee"/>
    <w:family w:val="modern"/>
    <w:pitch w:val="default"/>
  </w:font>
  <w:font w:name="Wingdings">
    <w:charset w:val="02"/>
    <w:family w:val="auto"/>
    <w:pitch w:val="variable"/>
  </w:font>
  <w:font w:name="Calibri">
    <w:charset w:val="ee"/>
    <w:family w:val="swiss"/>
    <w:pitch w:val="variable"/>
  </w:font>
  <w:font w:name="Corbel">
    <w:charset w:val="ee"/>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Zpa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Zhlav"/>
      <w:spacing w:before="0" w:after="240"/>
      <w:jc w:val="right"/>
      <w:rPr>
        <w:drawing>
          <wp:inline distT="0" distB="0" distL="0" distR="0">
            <wp:extent cx="1218565" cy="861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18565" cy="861060"/>
                    </a:xfrm>
                    <a:prstGeom prst="rect">
                      <a:avLst/>
                    </a:prstGeom>
                    <a:noFill/>
                    <a:ln w="9525">
                      <a:noFill/>
                      <a:miter lim="800000"/>
                      <a:headEnd/>
                      <a:tailEnd/>
                    </a:ln>
                  </pic:spPr>
                </pic:pic>
              </a:graphicData>
            </a:graphic>
          </wp:inline>
        </w:drawing>
      </w:rPr>
    </w:pPr>
    <w:r>
      <w:rPr>
        <w:drawing>
          <wp:inline distT="0" distB="0" distL="0" distR="0">
            <wp:extent cx="1218565" cy="861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18565" cy="861060"/>
                    </a:xfrm>
                    <a:prstGeom prst="rect">
                      <a:avLst/>
                    </a:prstGeom>
                    <a:noFill/>
                    <a:ln w="9525">
                      <a:noFill/>
                      <a:miter lim="800000"/>
                      <a:headEnd/>
                      <a:tailEnd/>
                    </a:ln>
                  </pic:spPr>
                </pic:pic>
              </a:graphicData>
            </a:graphic>
          </wp:inline>
        </w:drawing>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decimal"/>
      <w:lvlText w:val="%1."/>
      <w:lvlJc w:val="left"/>
      <w:pPr>
        <w:ind w:left="720" w:hanging="360"/>
      </w:pPr>
      <w:rPr>
        <w:color w:val="0000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pPr>
      <w:widowControl/>
      <w:suppressAutoHyphens w:val="true"/>
      <w:bidi w:val="0"/>
      <w:spacing w:lineRule="atLeast" w:line="240" w:before="80" w:after="120"/>
      <w:jc w:val="both"/>
    </w:pPr>
    <w:rPr>
      <w:rFonts w:ascii="Georgia" w:hAnsi="Georgia" w:eastAsia="Cambria" w:cs="Georgia"/>
      <w:color w:val="auto"/>
      <w:sz w:val="22"/>
      <w:szCs w:val="22"/>
      <w:lang w:val="cs-CZ" w:bidi="ar-SA" w:eastAsia="zh-CN"/>
    </w:rPr>
  </w:style>
  <w:style w:type="paragraph" w:styleId="Nadpis1">
    <w:name w:val="Nadpis 1"/>
    <w:basedOn w:val="Normal"/>
    <w:next w:val="Normal"/>
    <w:pPr>
      <w:keepNext/>
      <w:keepLines/>
      <w:numPr>
        <w:ilvl w:val="0"/>
        <w:numId w:val="1"/>
      </w:numPr>
      <w:spacing w:before="480" w:after="0"/>
      <w:jc w:val="left"/>
      <w:outlineLvl w:val="0"/>
      <w:outlineLvl w:val="0"/>
    </w:pPr>
    <w:rPr>
      <w:rFonts w:ascii="Trebuchet MS" w:hAnsi="Trebuchet MS" w:eastAsia="MS Gothic;ＭＳ ゴシック" w:cs="Times New Roman"/>
      <w:b/>
      <w:bCs/>
      <w:color w:val="C9161E"/>
      <w:sz w:val="32"/>
      <w:szCs w:val="32"/>
    </w:rPr>
  </w:style>
  <w:style w:type="paragraph" w:styleId="Nadpis2">
    <w:name w:val="Nadpis 2"/>
    <w:basedOn w:val="Normal"/>
    <w:next w:val="Normal"/>
    <w:pPr>
      <w:keepNext/>
      <w:keepLines/>
      <w:numPr>
        <w:ilvl w:val="1"/>
        <w:numId w:val="1"/>
      </w:numPr>
      <w:spacing w:before="200" w:after="0"/>
      <w:outlineLvl w:val="1"/>
      <w:outlineLvl w:val="1"/>
    </w:pPr>
    <w:rPr>
      <w:rFonts w:ascii="Trebuchet MS" w:hAnsi="Trebuchet MS" w:eastAsia="MS Gothic;ＭＳ ゴシック" w:cs="Times New Roman"/>
      <w:b/>
      <w:bCs/>
      <w:color w:val="000000"/>
      <w:sz w:val="26"/>
      <w:szCs w:val="26"/>
    </w:rPr>
  </w:style>
  <w:style w:type="paragraph" w:styleId="Nadpis3">
    <w:name w:val="Nadpis 3"/>
    <w:basedOn w:val="Normal"/>
    <w:next w:val="Normal"/>
    <w:pPr>
      <w:keepNext/>
      <w:keepLines/>
      <w:numPr>
        <w:ilvl w:val="2"/>
        <w:numId w:val="1"/>
      </w:numPr>
      <w:spacing w:before="200" w:after="0"/>
      <w:outlineLvl w:val="2"/>
      <w:outlineLvl w:val="2"/>
    </w:pPr>
    <w:rPr>
      <w:rFonts w:ascii="Arial" w:hAnsi="Arial" w:eastAsia="MS Gothic;ＭＳ ゴシック" w:cs="Times New Roman"/>
      <w:b/>
      <w:bCs/>
      <w:color w:val="000000"/>
    </w:rPr>
  </w:style>
  <w:style w:type="character" w:styleId="WW8Num1z0">
    <w:name w:val="WW8Num1z0"/>
    <w:rPr>
      <w:rFonts w:ascii="Symbol" w:hAnsi="Symbol" w:cs="Symbol"/>
    </w:rPr>
  </w:style>
  <w:style w:type="character" w:styleId="WW8Num1z2">
    <w:name w:val="WW8Num1z2"/>
    <w:rPr>
      <w:rFonts w:ascii="Courier New" w:hAnsi="Courier New" w:cs="Courier New"/>
    </w:rPr>
  </w:style>
  <w:style w:type="character" w:styleId="WW8Num1z3">
    <w:name w:val="WW8Num1z3"/>
    <w:rPr>
      <w:rFonts w:ascii="Wingdings" w:hAnsi="Wingdings" w:cs="Wingdings"/>
    </w:rPr>
  </w:style>
  <w:style w:type="character" w:styleId="WW8Num2z0">
    <w:name w:val="WW8Num2z0"/>
    <w:rPr/>
  </w:style>
  <w:style w:type="character" w:styleId="WW8Num3z0">
    <w:name w:val="WW8Num3z0"/>
    <w:rPr/>
  </w:style>
  <w:style w:type="character" w:styleId="WW8Num4z0">
    <w:name w:val="WW8Num4z0"/>
    <w:rPr/>
  </w:style>
  <w:style w:type="character" w:styleId="WW8Num5z0">
    <w:name w:val="WW8Num5z0"/>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rFonts w:ascii="Symbol" w:hAnsi="Symbol" w:cs="Symbol"/>
    </w:rPr>
  </w:style>
  <w:style w:type="character" w:styleId="WW8Num10z0">
    <w:name w:val="WW8Num10z0"/>
    <w:rPr/>
  </w:style>
  <w:style w:type="character" w:styleId="WW8Num11z0">
    <w:name w:val="WW8Num11z0"/>
    <w:rPr>
      <w:rFonts w:ascii="Symbol" w:hAnsi="Symbol" w:cs="Symbol"/>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cs="Symbol"/>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Calibri" w:hAnsi="Calibri" w:eastAsia="Calibri" w:cs="Times New Roman"/>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19z3">
    <w:name w:val="WW8Num19z3"/>
    <w:rPr>
      <w:rFonts w:ascii="Symbol" w:hAnsi="Symbol" w:cs="Symbol"/>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color w:val="00000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Standardnpsmoodstavce">
    <w:name w:val="Standardní písmo odstavce"/>
    <w:rPr/>
  </w:style>
  <w:style w:type="character" w:styleId="Nadpis1Char">
    <w:name w:val="Nadpis 1 Char"/>
    <w:rPr>
      <w:rFonts w:ascii="Trebuchet MS" w:hAnsi="Trebuchet MS" w:eastAsia="MS Gothic;ＭＳ ゴシック" w:cs="Times New Roman"/>
      <w:b/>
      <w:bCs/>
      <w:color w:val="C9161E"/>
      <w:sz w:val="32"/>
      <w:szCs w:val="32"/>
    </w:rPr>
  </w:style>
  <w:style w:type="character" w:styleId="Nadpis2Char">
    <w:name w:val="Nadpis 2 Char"/>
    <w:rPr>
      <w:rFonts w:ascii="Trebuchet MS" w:hAnsi="Trebuchet MS" w:eastAsia="MS Gothic;ＭＳ ゴシック" w:cs="Times New Roman"/>
      <w:b/>
      <w:bCs/>
      <w:color w:val="000000"/>
      <w:sz w:val="26"/>
      <w:szCs w:val="26"/>
    </w:rPr>
  </w:style>
  <w:style w:type="character" w:styleId="Nadpis3Char">
    <w:name w:val="Nadpis 3 Char"/>
    <w:rPr>
      <w:rFonts w:ascii="Arial" w:hAnsi="Arial" w:eastAsia="MS Gothic;ＭＳ ゴシック" w:cs="Times New Roman"/>
      <w:b/>
      <w:bCs/>
      <w:color w:val="000000"/>
    </w:rPr>
  </w:style>
  <w:style w:type="character" w:styleId="ZhlavChar">
    <w:name w:val="Záhlaví Char"/>
    <w:rPr>
      <w:rFonts w:ascii="Corbel" w:hAnsi="Corbel" w:cs="Corbel"/>
    </w:rPr>
  </w:style>
  <w:style w:type="character" w:styleId="ZpatChar">
    <w:name w:val="Zápatí Char"/>
    <w:rPr>
      <w:rFonts w:ascii="Corbel" w:hAnsi="Corbel" w:cs="Corbel"/>
    </w:rPr>
  </w:style>
  <w:style w:type="character" w:styleId="Odrky">
    <w:name w:val="Odrážky"/>
    <w:rPr>
      <w:rFonts w:ascii="OpenSymbol" w:hAnsi="OpenSymbol" w:eastAsia="OpenSymbol" w:cs="OpenSymbol"/>
    </w:rPr>
  </w:style>
  <w:style w:type="paragraph" w:styleId="Nadpis">
    <w:name w:val="Nadpis"/>
    <w:basedOn w:val="Normal"/>
    <w:next w:val="Tlotextu"/>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Slovanseznam">
    <w:name w:val="Číslovaný seznam"/>
    <w:basedOn w:val="Normal"/>
    <w:pPr>
      <w:numPr>
        <w:ilvl w:val="0"/>
        <w:numId w:val="2"/>
      </w:numPr>
      <w:spacing w:before="80" w:after="120"/>
      <w:contextualSpacing/>
    </w:pPr>
    <w:rPr/>
  </w:style>
  <w:style w:type="paragraph" w:styleId="Zhlav">
    <w:name w:val="Záhlaví"/>
    <w:basedOn w:val="Normal"/>
    <w:pPr>
      <w:spacing w:lineRule="auto" w:line="240" w:before="0" w:after="0"/>
    </w:pPr>
    <w:rPr/>
  </w:style>
  <w:style w:type="paragraph" w:styleId="Zpat">
    <w:name w:val="Zápatí"/>
    <w:basedOn w:val="Normal"/>
    <w:pPr>
      <w:spacing w:lineRule="auto" w:line="240" w:before="0" w:after="0"/>
    </w:pPr>
    <w:rPr/>
  </w:style>
  <w:style w:type="paragraph" w:styleId="Barevnseznamzvraznn1">
    <w:name w:val="Barevný seznam – zvýraznění 1"/>
    <w:basedOn w:val="Normal"/>
    <w:pPr>
      <w:spacing w:before="80" w:after="120"/>
      <w:ind w:left="720" w:right="0" w:hanging="0"/>
      <w:contextualSpacing/>
    </w:pPr>
    <w:rPr/>
  </w:style>
  <w:style w:type="paragraph" w:styleId="Obsahtabulky">
    <w:name w:val="Obsah tabulky"/>
    <w:basedOn w:val="Normal"/>
    <w:pPr>
      <w:suppressLineNumbers/>
    </w:pPr>
    <w:rPr/>
  </w:style>
  <w:style w:type="paragraph" w:styleId="Nadpistabulky">
    <w:name w:val="Nadpis tabulky"/>
    <w:basedOn w:val="Obsahtabulky"/>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76.wmf"/>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2016-02-22T18:09:00Z</dcterms:created>
  <dc:creator>Petr Návrat</dc:creator>
  <dc:language>cs-CZ</dc:language>
  <cp:lastModifiedBy>Vinická Věra Bc. (IPR\SSP)</cp:lastModifiedBy>
  <cp:lastPrinted>2015-10-12T10:42:00Z</cp:lastPrinted>
  <dcterms:modified xsi:type="dcterms:W3CDTF">2016-02-23T09:41:00Z</dcterms:modified>
  <cp:revision>3</cp:revision>
</cp:coreProperties>
</file>