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12.wmf" ContentType="image/x-wmf"/>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dpis1"/>
        <w:numPr>
          <w:ilvl w:val="0"/>
          <w:numId w:val="1"/>
        </w:numPr>
        <w:spacing w:before="0" w:after="0"/>
        <w:rPr>
          <w:color w:val="000000"/>
        </w:rPr>
      </w:pPr>
      <w:r>
        <w:rPr>
          <w:b w:val="false"/>
          <w:color w:val="000000"/>
          <w:sz w:val="28"/>
          <w:szCs w:val="28"/>
        </w:rPr>
        <w:t>Návrhová část Strategického plánu hl. m. Prahy, Aktualizace 2016</w:t>
      </w:r>
      <w:r>
        <w:rPr>
          <w:color w:val="000000"/>
        </w:rPr>
        <w:br/>
      </w:r>
    </w:p>
    <w:p>
      <w:pPr>
        <w:pStyle w:val="Nadpis1"/>
        <w:numPr>
          <w:ilvl w:val="0"/>
          <w:numId w:val="1"/>
        </w:numPr>
        <w:spacing w:before="0" w:after="0"/>
        <w:rPr>
          <w:color w:val="000000"/>
        </w:rPr>
      </w:pPr>
      <w:r>
        <w:rPr>
          <w:color w:val="000000"/>
        </w:rPr>
        <w:t>KOMENTÁŘE KE STRATEGICKÝM CÍLŮM A OPATŘENÍM</w:t>
      </w:r>
    </w:p>
    <w:p>
      <w:pPr>
        <w:pStyle w:val="Normal"/>
        <w:rPr>
          <w:rFonts w:cs="Trebuchet MS" w:ascii="Trebuchet MS" w:hAnsi="Trebuchet MS"/>
        </w:rPr>
      </w:pPr>
      <w:r>
        <w:rPr>
          <w:rFonts w:cs="Trebuchet MS" w:ascii="Trebuchet MS" w:hAnsi="Trebuchet MS"/>
        </w:rPr>
      </w:r>
    </w:p>
    <w:p>
      <w:pPr>
        <w:pStyle w:val="Normal"/>
        <w:jc w:val="left"/>
        <w:rPr>
          <w:rFonts w:cs="Trebuchet MS" w:ascii="Trebuchet MS" w:hAnsi="Trebuchet MS"/>
          <w:i/>
        </w:rPr>
      </w:pPr>
      <w:r>
        <w:rPr>
          <w:rFonts w:cs="Trebuchet MS" w:ascii="Trebuchet MS" w:hAnsi="Trebuchet MS"/>
          <w:i/>
        </w:rPr>
        <w:t>Vyplňte prosím Vaše komentáře k jednotlivým cílům, koncepcím a opatřením. Do prostředního sloupce napište číslo strategického cíle, koncepce a opatření, kterého se Vaše připomínka v pravém sloupci týká. V případě komentáře k úvodním částem není nutné druhý sloupec vyplňovat.</w:t>
      </w:r>
    </w:p>
    <w:p>
      <w:pPr>
        <w:pStyle w:val="Normal"/>
        <w:jc w:val="left"/>
        <w:rPr>
          <w:rFonts w:cs="Trebuchet MS" w:ascii="Trebuchet MS" w:hAnsi="Trebuchet MS"/>
        </w:rPr>
      </w:pPr>
      <w:r>
        <w:rPr>
          <w:rFonts w:cs="Trebuchet MS" w:ascii="Trebuchet MS" w:hAnsi="Trebuchet MS"/>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951"/>
        <w:gridCol w:w="3731"/>
        <w:gridCol w:w="10"/>
        <w:gridCol w:w="1285"/>
        <w:gridCol w:w="2455"/>
      </w:tblGrid>
      <w:tr>
        <w:trPr>
          <w:cantSplit w:val="false"/>
        </w:trPr>
        <w:tc>
          <w:tcPr>
            <w:tcW w:w="1951"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rPr>
                <w:rFonts w:cs="Trebuchet MS" w:ascii="Trebuchet MS" w:hAnsi="Trebuchet MS"/>
                <w:b/>
              </w:rPr>
            </w:pPr>
            <w:r>
              <w:rPr>
                <w:rFonts w:cs="Trebuchet MS" w:ascii="Trebuchet MS" w:hAnsi="Trebuchet MS"/>
                <w:b/>
              </w:rPr>
              <w:t>JMÉNO</w:t>
            </w:r>
          </w:p>
        </w:tc>
        <w:tc>
          <w:tcPr>
            <w:tcW w:w="37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Adam Zábranský</w:t>
            </w:r>
          </w:p>
        </w:tc>
        <w:tc>
          <w:tcPr>
            <w:tcW w:w="1295" w:type="dxa"/>
            <w:gridSpan w:val="2"/>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rPr>
                <w:rFonts w:cs="Trebuchet MS" w:ascii="Trebuchet MS" w:hAnsi="Trebuchet MS"/>
                <w:b/>
              </w:rPr>
            </w:pPr>
            <w:r>
              <w:rPr>
                <w:rFonts w:cs="Trebuchet MS" w:ascii="Trebuchet MS" w:hAnsi="Trebuchet MS"/>
                <w:b/>
              </w:rPr>
              <w:t>DATUM</w:t>
            </w:r>
          </w:p>
        </w:tc>
        <w:tc>
          <w:tcPr>
            <w:tcW w:w="245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 března 2016</w:t>
            </w:r>
          </w:p>
        </w:tc>
      </w:tr>
      <w:tr>
        <w:trPr>
          <w:cantSplit w:val="false"/>
        </w:trPr>
        <w:tc>
          <w:tcPr>
            <w:tcW w:w="1951"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rPr>
                <w:rFonts w:cs="Trebuchet MS" w:ascii="Trebuchet MS" w:hAnsi="Trebuchet MS"/>
                <w:b/>
              </w:rPr>
            </w:pPr>
            <w:r>
              <w:rPr>
                <w:rFonts w:cs="Trebuchet MS" w:ascii="Trebuchet MS" w:hAnsi="Trebuchet MS"/>
                <w:b/>
              </w:rPr>
              <w:t>ORGANIZACE</w:t>
            </w:r>
          </w:p>
        </w:tc>
        <w:tc>
          <w:tcPr>
            <w:tcW w:w="3741"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Zastupitelský klub Pirátů v Praze</w:t>
            </w:r>
          </w:p>
        </w:tc>
        <w:tc>
          <w:tcPr>
            <w:tcW w:w="3740" w:type="dxa"/>
            <w:gridSpan w:val="2"/>
            <w:tcBorders>
              <w:top w:val="nil"/>
              <w:left w:val="single" w:sz="4" w:space="0" w:color="000000"/>
              <w:bottom w:val="nil"/>
              <w:insideH w:val="nil"/>
              <w:right w:val="nil"/>
              <w:insideV w:val="nil"/>
            </w:tcBorders>
            <w:shd w:fill="auto" w:val="clear"/>
            <w:tcMar>
              <w:left w:w="-5" w:type="dxa"/>
              <w:right w:w="0" w:type="dxa"/>
            </w:tcMar>
          </w:tcPr>
          <w:p>
            <w:pPr>
              <w:pStyle w:val="Normal"/>
              <w:snapToGrid w:val="false"/>
              <w:spacing w:before="80" w:after="120"/>
              <w:rPr/>
            </w:pPr>
            <w:r>
              <w:rPr/>
            </w:r>
          </w:p>
        </w:tc>
      </w:tr>
    </w:tbl>
    <w:p>
      <w:pPr>
        <w:pStyle w:val="Normal"/>
        <w:rPr>
          <w:rFonts w:cs="Times New Roman" w:ascii="Times New Roman" w:hAnsi="Times New Roman"/>
        </w:rPr>
      </w:pPr>
      <w:r>
        <w:rPr>
          <w:rFonts w:cs="Times New Roman" w:ascii="Times New Roman" w:hAnsi="Times New Roman"/>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817"/>
        <w:gridCol w:w="1418"/>
        <w:gridCol w:w="7204"/>
      </w:tblGrid>
      <w:tr>
        <w:trPr>
          <w:tblHeader w:val="true"/>
          <w:trHeight w:val="1199"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rPr>
                <w:rFonts w:cs="Trebuchet MS" w:ascii="Trebuchet MS" w:hAnsi="Trebuchet MS"/>
                <w:b/>
              </w:rPr>
            </w:pPr>
            <w:r>
              <w:rPr>
                <w:rFonts w:cs="Trebuchet MS" w:ascii="Trebuchet MS" w:hAnsi="Trebuchet MS"/>
                <w:b/>
              </w:rPr>
              <w:t>ČÍSLO</w:t>
            </w:r>
          </w:p>
          <w:p>
            <w:pPr>
              <w:pStyle w:val="Normal"/>
              <w:spacing w:before="80" w:after="120"/>
              <w:rPr>
                <w:rFonts w:cs="Trebuchet MS" w:ascii="Trebuchet MS" w:hAnsi="Trebuchet MS"/>
                <w:b/>
              </w:rPr>
            </w:pPr>
            <w:r>
              <w:rPr>
                <w:rFonts w:cs="Trebuchet MS" w:ascii="Trebuchet MS" w:hAnsi="Trebuchet MS"/>
                <w:b/>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D9D9D9" w:val="clear"/>
            <w:tcMar>
              <w:left w:w="103" w:type="dxa"/>
            </w:tcMar>
          </w:tcPr>
          <w:p>
            <w:pPr>
              <w:pStyle w:val="Normal"/>
              <w:spacing w:before="80" w:after="120"/>
              <w:jc w:val="left"/>
              <w:rPr>
                <w:rFonts w:cs="Trebuchet MS" w:ascii="Trebuchet MS" w:hAnsi="Trebuchet MS"/>
                <w:b/>
              </w:rPr>
            </w:pPr>
            <w:r>
              <w:rPr>
                <w:rFonts w:cs="Trebuchet MS" w:ascii="Trebuchet MS" w:hAnsi="Trebuchet MS"/>
                <w:b/>
              </w:rPr>
              <w:t xml:space="preserve">ČÍSLO </w:t>
            </w:r>
          </w:p>
          <w:p>
            <w:pPr>
              <w:pStyle w:val="Normal"/>
              <w:jc w:val="left"/>
              <w:rPr>
                <w:rFonts w:cs="Trebuchet MS" w:ascii="Trebuchet MS" w:hAnsi="Trebuchet MS"/>
                <w:b/>
              </w:rPr>
            </w:pPr>
            <w:r>
              <w:rPr>
                <w:rFonts w:cs="Trebuchet MS" w:ascii="Trebuchet MS" w:hAnsi="Trebuchet MS"/>
                <w:b/>
              </w:rPr>
              <w:t>STR. CÍLE/</w:t>
            </w:r>
          </w:p>
          <w:p>
            <w:pPr>
              <w:pStyle w:val="Normal"/>
              <w:jc w:val="left"/>
              <w:rPr>
                <w:rFonts w:cs="Trebuchet MS" w:ascii="Trebuchet MS" w:hAnsi="Trebuchet MS"/>
                <w:b/>
              </w:rPr>
            </w:pPr>
            <w:r>
              <w:rPr>
                <w:rFonts w:cs="Trebuchet MS" w:ascii="Trebuchet MS" w:hAnsi="Trebuchet MS"/>
                <w:b/>
              </w:rPr>
              <w:t>STRATEGIE/</w:t>
            </w:r>
          </w:p>
          <w:p>
            <w:pPr>
              <w:pStyle w:val="Normal"/>
              <w:spacing w:before="80" w:after="120"/>
              <w:jc w:val="left"/>
              <w:rPr>
                <w:rFonts w:cs="Trebuchet MS" w:ascii="Trebuchet MS" w:hAnsi="Trebuchet MS"/>
                <w:b/>
              </w:rPr>
            </w:pPr>
            <w:r>
              <w:rPr>
                <w:rFonts w:cs="Trebuchet MS" w:ascii="Trebuchet MS" w:hAnsi="Trebuchet MS"/>
                <w:b/>
              </w:rPr>
              <w:t>OPATŘENÍ</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9D9D9" w:val="clear"/>
            <w:tcMar>
              <w:left w:w="103" w:type="dxa"/>
            </w:tcMar>
          </w:tcPr>
          <w:p>
            <w:pPr>
              <w:pStyle w:val="Normal"/>
              <w:widowControl/>
              <w:bidi w:val="0"/>
              <w:spacing w:lineRule="atLeast" w:line="240" w:before="80" w:after="120"/>
              <w:jc w:val="both"/>
              <w:rPr>
                <w:rFonts w:cs="Trebuchet MS" w:ascii="Trebuchet MS" w:hAnsi="Trebuchet MS"/>
                <w:b/>
              </w:rPr>
            </w:pPr>
            <w:r>
              <w:rPr>
                <w:rFonts w:cs="Trebuchet MS" w:ascii="Trebuchet MS" w:hAnsi="Trebuchet MS"/>
                <w:b/>
              </w:rPr>
              <w:t>TEXT KOMENTÁŘE</w:t>
            </w:r>
          </w:p>
        </w:tc>
      </w:tr>
      <w:tr>
        <w:trPr>
          <w:trHeight w:val="1757"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Obecná poznámka</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t>Fakt</w:t>
            </w:r>
            <w:r>
              <w:rPr>
                <w:rFonts w:cs="Times New Roman" w:ascii="Times New Roman" w:hAnsi="Times New Roman"/>
                <w:i w:val="false"/>
                <w:iCs w:val="false"/>
              </w:rPr>
              <w:t xml:space="preserve">, že Strategický plán (dále jen „Plán) neobsahuje žádné termíny </w:t>
            </w:r>
            <w:r>
              <w:rPr>
                <w:rFonts w:cs="Times New Roman" w:ascii="Times New Roman" w:hAnsi="Times New Roman"/>
                <w:i w:val="false"/>
                <w:iCs w:val="false"/>
              </w:rPr>
              <w:t>plnění a ani se nesnaží u jednotlivých strategických cílů/strategií/opatření odhadnout jejich finanční náročnost či zdroje financování, přičemž tyto zásadní záležitosti v plné míře ponechává na čtyřletých realizačních plánech a jednoletých prováděcích plánech, dle našeho názoru oslabuje význam Plánu, protože ten se tak stává pouze jakýmsi seznamem přání. Navíc vzhledem k tomu, že nebyla nijak hodnocena finanční náročnost navrhovaných aktivit, tak v současné době nevíme, zda jsme alespoň rámcově schopni Plán naplnit, což považujeme za nešťastné. Je totiž možné, že brzy zjistíme, že nejsme schopni Plán realizovat v plné šíři a potom se stejně budeme muset rozhodovat, co nakonec realizujeme a co ne. Proto by bylo vhodné dát do Plánu pouze takové aktivity, které jsou prioritní, a ne všechny, které tvůrce v jednotlivých oblastech napadly.</w:t>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t>Obecně vesměs souhlasíme s prioritami Plánu, nicméně je v nich mnoho nekonkrétních formulací, které je možné vykládat různým způsobem. Pro jejich upřesnění by měly sloužit příklady aktivit, které ovšem ne vždy dostatečně vyjasní, co má autor na mysli.</w:t>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t>Chápeme, že příklady aktivit nejsou pro další implementaci Plánu závazné, přesto jim musíme vytknout, že jsou často značně nekonkrétní a potom se z nich stávají spíše programové teze, které vypovídají o tom, čeho chceme dosáhnout, ale jen velmi mlhavě o tom, jakým způsobem – což je na úrovni aktivit špatně. Plán se tak stává na jednu stranu více konsensuálním (každý si pod nekonkrétní formulací může představit to, co se mu líbí), ovšem za tu cenu, že později ho bude možné zneužít pro obhájení kroků, se kterými ne všichni, kdo Plán původně podpořili, souhlasí. V obecné rovině by například vždy, když je zmiňována podpora něčeho, mělo být upřesněno, jaký druh podpory se má na mysli – zda finanční, administrativní či nějaká jiná. Nechtěli bychom, aby výsledkem implementace Plánu bylo zavedení desítek nových grantových programů. Konkrétní příklady nekonkrétních aktivit uvedeme v další části, nicméně vzhledem k nezávaznosti aktivit se zaměříme pouze na ty, které považujeme za nejzásadnější.</w:t>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cs="Times New Roman" w:ascii="Times New Roman" w:hAnsi="Times New Roman"/>
                <w:i w:val="false"/>
                <w:iCs w:val="false"/>
              </w:rPr>
            </w:pPr>
            <w:r>
              <w:rPr>
                <w:rFonts w:cs="Times New Roman" w:ascii="Times New Roman" w:hAnsi="Times New Roman"/>
                <w:i w:val="false"/>
                <w:iCs w:val="false"/>
              </w:rPr>
              <w:t xml:space="preserve">Za naprosto </w:t>
            </w:r>
            <w:r>
              <w:rPr>
                <w:rFonts w:cs="Times New Roman" w:ascii="Times New Roman" w:hAnsi="Times New Roman"/>
                <w:i w:val="false"/>
                <w:iCs w:val="false"/>
              </w:rPr>
              <w:t>klíčový</w:t>
            </w:r>
            <w:r>
              <w:rPr>
                <w:rFonts w:cs="Times New Roman" w:ascii="Times New Roman" w:hAnsi="Times New Roman"/>
                <w:i w:val="false"/>
                <w:iCs w:val="false"/>
              </w:rPr>
              <w:t xml:space="preserve"> považujeme </w:t>
            </w:r>
            <w:r>
              <w:rPr>
                <w:rFonts w:cs="Times New Roman" w:ascii="Times New Roman" w:hAnsi="Times New Roman"/>
                <w:i w:val="false"/>
                <w:iCs w:val="false"/>
              </w:rPr>
              <w:t xml:space="preserve">způsob implementace </w:t>
            </w:r>
            <w:r>
              <w:rPr>
                <w:rFonts w:cs="Times New Roman" w:ascii="Times New Roman" w:hAnsi="Times New Roman"/>
                <w:i w:val="false"/>
                <w:iCs w:val="false"/>
              </w:rPr>
              <w:t>Plánu</w:t>
            </w:r>
            <w:r>
              <w:rPr>
                <w:rFonts w:cs="Times New Roman" w:ascii="Times New Roman" w:hAnsi="Times New Roman"/>
                <w:i w:val="false"/>
                <w:iCs w:val="false"/>
              </w:rPr>
              <w:t xml:space="preserve">. </w:t>
            </w:r>
            <w:r>
              <w:rPr>
                <w:rFonts w:cs="Times New Roman" w:ascii="Times New Roman" w:hAnsi="Times New Roman"/>
                <w:i w:val="false"/>
                <w:iCs w:val="false"/>
              </w:rPr>
              <w:t xml:space="preserve">Plně souhlasíme s tím, co navrhuje Plán, tedy aby se pravidelně vytvářely </w:t>
            </w:r>
            <w:r>
              <w:rPr>
                <w:rFonts w:cs="Times New Roman" w:ascii="Times New Roman" w:hAnsi="Times New Roman"/>
                <w:i w:val="false"/>
                <w:iCs w:val="false"/>
              </w:rPr>
              <w:t>realizační a prováděcí plány, ve kterých by byly stanoveny konkrétní odpovědné osoby a termíny a které by se průběžně vyhodnocovaly. Projektové řízení se na úrovni hl. m. Prahy snažíme prosadit od našeho nástupu do funkcí. Doufáme, že tento záměr se podaří prosadit, a to nejen při realizaci Plánu, ale i při realizaci dalších strategií hl. m. Prahy (a že jich není málo).</w:t>
            </w:r>
          </w:p>
        </w:tc>
      </w:tr>
      <w:tr>
        <w:trPr>
          <w:trHeight w:val="1040"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3"/>
              </w:numPr>
              <w:autoSpaceDE w:val="false"/>
              <w:snapToGrid w:val="false"/>
              <w:spacing w:before="80" w:after="120"/>
              <w:rPr>
                <w:rFonts w:cs="Times New Roman" w:ascii="Times New Roman" w:hAnsi="Times New Roman"/>
                <w:color w:val="FF0000"/>
                <w:lang w:val="en-US"/>
              </w:rPr>
            </w:pPr>
            <w:r>
              <w:rPr>
                <w:rFonts w:cs="Times New Roman" w:ascii="Times New Roman" w:hAnsi="Times New Roman"/>
                <w:color w:val="FF0000"/>
                <w:lang w:val="en-U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before="80" w:after="120"/>
              <w:jc w:val="left"/>
              <w:rPr>
                <w:rFonts w:cs="Times New Roman" w:ascii="Times New Roman" w:hAnsi="Times New Roman"/>
                <w:lang w:val="en-US"/>
              </w:rPr>
            </w:pPr>
            <w:r>
              <w:rPr>
                <w:rFonts w:cs="Times New Roman" w:ascii="Times New Roman" w:hAnsi="Times New Roman"/>
                <w:lang w:val="en-US"/>
              </w:rPr>
              <w:t>1.1.C2</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jc w:val="left"/>
              <w:rPr>
                <w:rFonts w:cs="Times New Roman" w:ascii="Times New Roman" w:hAnsi="Times New Roman"/>
                <w:i w:val="false"/>
                <w:iCs w:val="false"/>
              </w:rPr>
            </w:pPr>
            <w:r>
              <w:rPr>
                <w:rFonts w:cs="Times New Roman" w:ascii="Times New Roman" w:hAnsi="Times New Roman"/>
                <w:i w:val="false"/>
                <w:iCs w:val="false"/>
              </w:rPr>
              <w:t>U aktivity „aktivní podílení se na přípravě zákona o sociálním bydlení (formou připomínek, vlastních pozměňovacích návrhů atd.)“ není vůbec specifikováno, jakým směrem by se naše připomínky/návrhy měly ubírat</w:t>
            </w:r>
          </w:p>
        </w:tc>
      </w:tr>
      <w:tr>
        <w:trPr>
          <w:trHeight w:val="1185"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3"/>
              </w:numPr>
              <w:autoSpaceDE w:val="false"/>
              <w:snapToGrid w:val="false"/>
              <w:spacing w:before="80" w:after="120"/>
              <w:rPr>
                <w:rFonts w:cs="Times New Roman" w:ascii="Times New Roman" w:hAnsi="Times New Roman"/>
                <w:lang w:val="en-US"/>
              </w:rPr>
            </w:pPr>
            <w:r>
              <w:rPr>
                <w:rFonts w:cs="Times New Roman" w:ascii="Times New Roman" w:hAnsi="Times New Roman"/>
                <w:lang w:val="en-U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before="80" w:after="120"/>
              <w:jc w:val="left"/>
              <w:rPr>
                <w:rFonts w:cs="Times New Roman" w:ascii="Times New Roman" w:hAnsi="Times New Roman"/>
                <w:lang w:val="en-US"/>
              </w:rPr>
            </w:pPr>
            <w:r>
              <w:rPr>
                <w:rFonts w:cs="Times New Roman" w:ascii="Times New Roman" w:hAnsi="Times New Roman"/>
                <w:lang w:val="en-US"/>
              </w:rPr>
              <w:t>1.2.6 (indikátor)</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jc w:val="left"/>
              <w:rPr>
                <w:rFonts w:cs="Times New Roman" w:ascii="Times New Roman" w:hAnsi="Times New Roman"/>
              </w:rPr>
            </w:pPr>
            <w:r>
              <w:rPr>
                <w:rFonts w:cs="Times New Roman" w:ascii="Times New Roman" w:hAnsi="Times New Roman"/>
              </w:rPr>
              <w:t>„</w:t>
            </w:r>
            <w:r>
              <w:rPr>
                <w:rFonts w:cs="Times New Roman" w:ascii="Times New Roman" w:hAnsi="Times New Roman"/>
              </w:rPr>
              <w:t>Nárůst objemu grantových prostředků poskytovaných MČ a HMP pro kulturně komunitní rozvoj v lokalitách Prahy</w:t>
            </w:r>
            <w:r>
              <w:rPr>
                <w:rFonts w:cs="Times New Roman" w:ascii="Times New Roman" w:hAnsi="Times New Roman"/>
              </w:rPr>
              <w:t xml:space="preserve">“ </w:t>
            </w:r>
            <w:r>
              <w:rPr>
                <w:rFonts w:cs="Times New Roman" w:ascii="Times New Roman" w:hAnsi="Times New Roman"/>
              </w:rPr>
              <w:t>nepovažujeme za vhodný indikátor – to, že budeme dávat někam více peněz, nutně neznamená, že tyto prostředky budou využívány účelně</w:t>
            </w:r>
          </w:p>
        </w:tc>
      </w:tr>
      <w:tr>
        <w:trPr>
          <w:trHeight w:val="1208"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numPr>
                <w:ilvl w:val="0"/>
                <w:numId w:val="3"/>
              </w:numPr>
              <w:autoSpaceDE w:val="false"/>
              <w:snapToGrid w:val="false"/>
              <w:spacing w:before="80" w:after="120"/>
              <w:rPr>
                <w:rFonts w:cs="Times New Roman" w:ascii="Times New Roman" w:hAnsi="Times New Roman"/>
                <w:lang w:val="en-US"/>
              </w:rPr>
            </w:pPr>
            <w:r>
              <w:rPr>
                <w:rFonts w:cs="Times New Roman" w:ascii="Times New Roman" w:hAnsi="Times New Roman"/>
                <w:lang w:val="en-U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widowControl w:val="false"/>
              <w:autoSpaceDE w:val="false"/>
              <w:snapToGrid w:val="false"/>
              <w:spacing w:before="80" w:after="120"/>
              <w:jc w:val="left"/>
              <w:rPr>
                <w:rFonts w:cs="Times New Roman" w:ascii="Times New Roman" w:hAnsi="Times New Roman"/>
                <w:lang w:val="en-US"/>
              </w:rPr>
            </w:pPr>
            <w:r>
              <w:rPr>
                <w:rFonts w:cs="Times New Roman" w:ascii="Times New Roman" w:hAnsi="Times New Roman"/>
                <w:lang w:val="en-US"/>
              </w:rPr>
              <w:t>1.2A4</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jc w:val="left"/>
              <w:rPr>
                <w:rFonts w:cs="Times New Roman" w:ascii="Times New Roman" w:hAnsi="Times New Roman"/>
              </w:rPr>
            </w:pPr>
            <w:r>
              <w:rPr>
                <w:rFonts w:cs="Times New Roman" w:ascii="Times New Roman" w:hAnsi="Times New Roman"/>
              </w:rPr>
              <w:t>„</w:t>
            </w:r>
            <w:r>
              <w:rPr>
                <w:rFonts w:cs="Times New Roman" w:ascii="Times New Roman" w:hAnsi="Times New Roman"/>
              </w:rPr>
              <w:t>Vytvořit konkrétní poptávku a alokovat finanční prostředky pro kulturní instituce k tvorbě programů integrace cizinců skrze programy kulturních institucí.</w:t>
            </w:r>
            <w:r>
              <w:rPr>
                <w:rFonts w:cs="Times New Roman" w:ascii="Times New Roman" w:hAnsi="Times New Roman"/>
              </w:rPr>
              <w:t xml:space="preserve">“ - </w:t>
            </w:r>
            <w:r>
              <w:rPr>
                <w:rFonts w:cs="Times New Roman" w:ascii="Times New Roman" w:hAnsi="Times New Roman"/>
              </w:rPr>
              <w:t>asi je to jen špatná formulace, ale jestli po těchto programech není poptávka, proč bychom ji měli vytvářet?</w:t>
            </w:r>
          </w:p>
        </w:tc>
      </w:tr>
      <w:tr>
        <w:trPr>
          <w:trHeight w:val="1246"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1.2B4</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w:t>
            </w:r>
            <w:r>
              <w:rPr>
                <w:rFonts w:cs="Times New Roman" w:ascii="Times New Roman" w:hAnsi="Times New Roman"/>
              </w:rPr>
              <w:t>vyčlenit prostředky na získávání objektů areálů, které tradičně plnily roli odpočinkových a komunitních areálů i pro veřejnost, nejen pro soukromé vlastníky a nyní jsou dražebních řízeních např. jako majetek po CKM</w:t>
            </w:r>
            <w:r>
              <w:rPr>
                <w:rFonts w:cs="Times New Roman" w:ascii="Times New Roman" w:hAnsi="Times New Roman"/>
              </w:rPr>
              <w:t xml:space="preserve">“ - </w:t>
            </w:r>
            <w:r>
              <w:rPr>
                <w:rFonts w:cs="Times New Roman" w:ascii="Times New Roman" w:hAnsi="Times New Roman"/>
              </w:rPr>
              <w:t>které to jsou? (vhodné by bylo uvést alespoň pár příkladů)</w:t>
            </w:r>
          </w:p>
        </w:tc>
      </w:tr>
      <w:tr>
        <w:trPr>
          <w:trHeight w:val="735"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1.2C</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Celá tato koncepce je žalostně krátká, až takto působí téměř jako výsměch – vhodnější by dle našeho názoru bylo její začlenění do strategického cíle 3.2</w:t>
            </w:r>
          </w:p>
        </w:tc>
      </w:tr>
      <w:tr>
        <w:trPr>
          <w:trHeight w:val="1412"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 A1</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w:t>
            </w:r>
            <w:r>
              <w:rPr>
                <w:rFonts w:cs="Times New Roman" w:ascii="Times New Roman" w:hAnsi="Times New Roman"/>
              </w:rPr>
              <w:t>vytvoření multimodální aplikace pro plánování cesty různými způsoby dopravy (veřejnou dopravou, autem, na kole, pěšky), včetně možnosti odbavení a placení za služby</w:t>
            </w:r>
            <w:r>
              <w:rPr>
                <w:rFonts w:cs="Times New Roman" w:ascii="Times New Roman" w:hAnsi="Times New Roman"/>
              </w:rPr>
              <w:t xml:space="preserve">“ - </w:t>
            </w:r>
            <w:r>
              <w:rPr>
                <w:rFonts w:cs="Times New Roman" w:ascii="Times New Roman" w:hAnsi="Times New Roman"/>
              </w:rPr>
              <w:t>město by nemělo vytvářet aplikace, nýbrž otevírat data, aby tyto aplikace mohl vytvářet kdokoliv – je to levnější a efektivnější</w:t>
            </w:r>
          </w:p>
        </w:tc>
      </w:tr>
      <w:tr>
        <w:trPr>
          <w:trHeight w:val="1757"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 A4</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Dostupnost WIFI signálu v MHD nepovažujeme za zásadní prioritu, zvlášť pokud by to mělo být spojeno s vysokými náklady</w:t>
            </w:r>
          </w:p>
        </w:tc>
      </w:tr>
      <w:tr>
        <w:trPr>
          <w:trHeight w:val="1757" w:hRule="atLeast"/>
          <w:cantSplit w:val="false"/>
        </w:trPr>
        <w:tc>
          <w:tcPr>
            <w:tcW w:w="81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 A6</w:t>
            </w:r>
          </w:p>
        </w:tc>
        <w:tc>
          <w:tcPr>
            <w:tcW w:w="720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Nízkoemisní zónu považujeme za problematickou, minimálně kvůli reálnému dopadu pouze na méně majetné občany. Rozumnější je dle našeho názoru snažit se v centru města omezit neúnosnou míru automobilové dopravy nediskriminačním způsobem.</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 B3</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U rozvoje železniční sítě nám chybí řešení pro případ, že SŽDC nebude chtít spolupracovat. Můžeme s tím něco dělat (např. začít stavět vlastní železniční tratě)?</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1.5 D2</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Nesouhlasíme s dostavbou Městského okruhu v původní verzi, dle našeho názoru se jedná o příliš rozsáhlou investici, kterou si nemůžeme dovolit (respektive si myslíme, že jsou vhodnější způsoby, jak utratit další desítky miliard korun).</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2.1.5 (indikátor)</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Kongresový turismus nepovažujeme za oblast hodnou nějaké zvláštní podpory, proto ani indikátor „Vyšší počet participantů mezinárodních kongresových akcí v Praze“ nepovažujeme za tak důležitý, aby byl v Plánu</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2.4 B</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Navrhujeme přidat dvě další opatření:</w:t>
            </w:r>
          </w:p>
          <w:p>
            <w:pPr>
              <w:pStyle w:val="Normal"/>
              <w:snapToGrid w:val="false"/>
              <w:rPr>
                <w:rFonts w:cs="Times New Roman" w:ascii="Times New Roman" w:hAnsi="Times New Roman"/>
              </w:rPr>
            </w:pPr>
            <w:r>
              <w:rPr>
                <w:rFonts w:cs="Times New Roman" w:ascii="Times New Roman" w:hAnsi="Times New Roman"/>
              </w:rPr>
              <w:t>1. „Spolupráce při tvorbě kvalitních výukových materiálů,“ jehož cílem by měla být podpora tvorby otevřených vzdělávacích materiálů, na jejichž vylepšování by se mohl kdokoliv podílet, a to včetně výukových videí. Tyto materiály by byly vytvářeny jako zaměstnanecká díla a šířeny pod svobodnou licencí. Bylo by tak možné využít efektu, který využila např. Wikipedie, tedy že místo toho, aby si každý učitel vytvářel učební pomůcky na svém vlastním písečku, by učitelé spolupracovali a vytvořily kvalitní materiály, které by byly dostupné každému. Tím by se výrazně snížily bariéry ve vzdělávání. Podpora jednotlivých činností by byla jak metodická, tak technická (databáze materiálů by mohla být na stránkách Prahy) i finanční.</w:t>
            </w:r>
          </w:p>
          <w:p>
            <w:pPr>
              <w:pStyle w:val="Normal"/>
              <w:snapToGrid w:val="false"/>
              <w:spacing w:before="80" w:after="120"/>
              <w:jc w:val="both"/>
              <w:rPr>
                <w:rFonts w:cs="Times New Roman" w:ascii="Times New Roman" w:hAnsi="Times New Roman"/>
              </w:rPr>
            </w:pPr>
            <w:r>
              <w:rPr>
                <w:rFonts w:cs="Times New Roman" w:ascii="Times New Roman" w:hAnsi="Times New Roman"/>
              </w:rPr>
              <w:t xml:space="preserve">2. „Využívání moderních výukových metod,“ jehož cílem by byla podpora využívání osvědčených metod e-learningu jako je např. Duolingo pro výuku cizích jazyků či Khanovy školy pro výuku předmětů typu matematika, fyzika, chemie atd. Tyto „aplikace“ může každý využívat zdarma a mohou sloužit jako efektivní a zábavný doplněk výuky. Například Duolingo je podle výzkumu z roku 2012 pro výuku jazyků efektivnější než vysokoškolský seminář, viz </w:t>
            </w:r>
            <w:hyperlink r:id="rId2">
              <w:r>
                <w:rPr>
                  <w:rStyle w:val="Internetovodkaz"/>
                  <w:rFonts w:cs="Times New Roman" w:ascii="Times New Roman" w:hAnsi="Times New Roman"/>
                </w:rPr>
                <w:t>http://static.duolingo.com/s3/DuolingoReport_Final.pdf</w:t>
              </w:r>
            </w:hyperlink>
            <w:r>
              <w:rPr>
                <w:rFonts w:cs="Times New Roman" w:ascii="Times New Roman" w:hAnsi="Times New Roman"/>
              </w:rPr>
              <w:t>. Využívání moderních výukových metod by město mělo podporovat především formou informování škol a učitelů a šíření zkušeností jednotlivých škol. Vzhledem k tomu, že pro česky mluvící uživatele je v Duolingo dostupný zatím pouze kurz angličtiny, bylo by vhodné i finančně podpořit vytvoření kurzu jiných významných cizích jazyků (němčina, francouzština, španělština atd.), přičemž podílet se na tvorbě takového kurzu může kdokoliv chce.</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2.4 B3</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Za aktivitu navrhujeme uvést zavedení svobodného software na školách, jednak kvůli ušetření finančních prostředků na zbytečný nákup licencí, jednak proto, aby žáci věděli, že existují alternativy k placeným operačním systémům a programům; používání svobodného software je v souladu s Tezemi digitální strategie (usnesení Rady hl. m. Prahy č. 2215 ze dne 15.9.2015).</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3.1 A1</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Nevíme, co si máme představit pod větou „koncepční příprava a akviziční naplňování portfolia pozemků ve vlastnictví města určených pro koordinovaný rozvoj celoměstsky významných lokalit,“ bylo by vhodné to specifikovat</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3.2. A2</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Navrhujeme doplnit aktivitu „podpora městských částí při zavedení a realizaci participativního rozpočtování a zavedení participativního rozpočtování na úrovni hl. m. Prahy“, protože participativní rozpočtování považujeme za velmi vhodný prostředek zapojení obyvatel do rozhodování o rozvoji města. Několik městských částí (Praha 10, Praha-Zbraslav a nově Praha 3) se již rozhodli takto obyvatele zapojit a vypadá to, že další městské části (např. Praha 7) o to také mají zájem.</w:t>
            </w:r>
          </w:p>
          <w:p>
            <w:pPr>
              <w:pStyle w:val="Normal"/>
              <w:snapToGrid w:val="false"/>
              <w:spacing w:before="80" w:after="120"/>
              <w:rPr>
                <w:rFonts w:cs="Times New Roman" w:ascii="Times New Roman" w:hAnsi="Times New Roman"/>
              </w:rPr>
            </w:pPr>
            <w:r>
              <w:rPr>
                <w:rFonts w:cs="Times New Roman" w:ascii="Times New Roman" w:hAnsi="Times New Roman"/>
              </w:rPr>
              <w:t>Dále navrhujeme doplnit aktivitu „zveřejňování plánu investičních akcí s možností zpětné vazby z řad veřejnosti na portálu hl. m. Prahy“ a „zveřejňování co největšího množství dat, které má město k dispozici, formou otevřených dat“. Tyto dvě aktivity dle našeho názoru také mohou výrazně pozitivně ovlivnit aktivitu občanů v pražských záležitostech.</w:t>
            </w:r>
          </w:p>
        </w:tc>
      </w:tr>
      <w:tr>
        <w:trPr>
          <w:trHeight w:val="1757" w:hRule="atLeast"/>
          <w:cantSplit w:val="false"/>
        </w:trPr>
        <w:tc>
          <w:tcPr>
            <w:tcW w:w="817"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snapToGrid w:val="false"/>
              <w:spacing w:before="80" w:after="120"/>
              <w:rPr>
                <w:rFonts w:cs="Times New Roman" w:ascii="Times New Roman" w:hAnsi="Times New Roman"/>
              </w:rPr>
            </w:pPr>
            <w:r>
              <w:rPr>
                <w:rFonts w:cs="Times New Roman" w:ascii="Times New Roman" w:hAnsi="Times New Roman"/>
              </w:rPr>
            </w:r>
          </w:p>
        </w:tc>
        <w:tc>
          <w:tcPr>
            <w:tcW w:w="141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3.2 D1</w:t>
            </w:r>
          </w:p>
        </w:tc>
        <w:tc>
          <w:tcPr>
            <w:tcW w:w="7204"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spacing w:before="80" w:after="120"/>
              <w:rPr>
                <w:rFonts w:cs="Times New Roman" w:ascii="Times New Roman" w:hAnsi="Times New Roman"/>
              </w:rPr>
            </w:pPr>
            <w:r>
              <w:rPr>
                <w:rFonts w:cs="Times New Roman" w:ascii="Times New Roman" w:hAnsi="Times New Roman"/>
              </w:rPr>
              <w:t>U aktivity „vytvoření a užívání sdílené datové základny a sdílené centrální infrastruktury ICT MHMP pro rozvoj chytrých/smart aplikací“ by v souladu s Tezemi digitální strategie mělo být zmíněno, že tyto aplikace by primárně nemělo financovat město, které by mělo hlavně volně poskytovat data k dalšímu užití.</w:t>
            </w:r>
          </w:p>
          <w:p>
            <w:pPr>
              <w:pStyle w:val="Normal"/>
              <w:snapToGrid w:val="false"/>
              <w:rPr>
                <w:rFonts w:cs="Times New Roman" w:ascii="Times New Roman" w:hAnsi="Times New Roman"/>
              </w:rPr>
            </w:pPr>
            <w:r>
              <w:rPr>
                <w:rFonts w:cs="Times New Roman" w:ascii="Times New Roman" w:hAnsi="Times New Roman"/>
              </w:rPr>
              <w:t>Jako aktivita by výslovně mělo být zmíněno „zveřejňování (např. provozních) dat úřadů, příspěvkových organizací a městských společností formou otevřených dat“.</w:t>
            </w:r>
          </w:p>
          <w:p>
            <w:pPr>
              <w:pStyle w:val="Normal"/>
              <w:snapToGrid w:val="false"/>
              <w:spacing w:before="80" w:after="120"/>
              <w:rPr>
                <w:rFonts w:cs="Times New Roman" w:ascii="Times New Roman" w:hAnsi="Times New Roman"/>
              </w:rPr>
            </w:pPr>
            <w:r>
              <w:rPr>
                <w:rFonts w:cs="Times New Roman" w:ascii="Times New Roman" w:hAnsi="Times New Roman"/>
              </w:rPr>
              <w:t>V celém Plánu není ani zmínka o městských společnostech. Ty jsou přitom často terčem kritiky, ať už kvůli netransparentnosti, pochybným smlouvám či obsazování jejich orgánů politickými trafikanty, a jsou tedy významné pro vnímání města ze strany veřejnosti. Obdobně důležitá je transparentnost příspěvkových organizací. Proto by alespoň v tomto opatření o nich měla být zmínka, navrhujeme aktivitu „vztáhnutí principů transparentního fungování i na příspěvkové organizace hl. m. Prahy a společnosti s majetkovou účastí hl. m. Prahy“</w:t>
            </w:r>
          </w:p>
        </w:tc>
      </w:tr>
    </w:tbl>
    <w:p>
      <w:pPr>
        <w:pStyle w:val="Normal"/>
        <w:spacing w:lineRule="auto" w:line="240" w:before="0" w:after="0"/>
        <w:rPr>
          <w:rFonts w:cs="Times New Roman" w:ascii="Times New Roman" w:hAnsi="Times New Roman"/>
          <w:sz w:val="2"/>
          <w:szCs w:val="2"/>
        </w:rPr>
      </w:pPr>
      <w:r>
        <w:rPr>
          <w:rFonts w:cs="Times New Roman" w:ascii="Times New Roman" w:hAnsi="Times New Roman"/>
          <w:sz w:val="2"/>
          <w:szCs w:val="2"/>
        </w:rPr>
      </w:r>
    </w:p>
    <w:sectPr>
      <w:headerReference w:type="default" r:id="rId3"/>
      <w:footerReference w:type="default" r:id="rId4"/>
      <w:type w:val="nextPage"/>
      <w:pgSz w:w="11906" w:h="16820"/>
      <w:pgMar w:left="1276" w:right="1418" w:header="283" w:top="1440" w:footer="680"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ee"/>
    <w:family w:val="roman"/>
    <w:pitch w:val="variable"/>
  </w:font>
  <w:font w:name="Trebuchet MS">
    <w:charset w:val="ee"/>
    <w:family w:val="swiss"/>
    <w:pitch w:val="variable"/>
  </w:font>
  <w:font w:name="Arial">
    <w:charset w:val="ee"/>
    <w:family w:val="swiss"/>
    <w:pitch w:val="variable"/>
  </w:font>
  <w:font w:name="Symbol">
    <w:charset w:val="01"/>
    <w:family w:val="roman"/>
    <w:pitch w:val="variable"/>
  </w:font>
  <w:font w:name="Courier New">
    <w:charset w:val="ee"/>
    <w:family w:val="modern"/>
    <w:pitch w:val="default"/>
  </w:font>
  <w:font w:name="Wingdings">
    <w:charset w:val="02"/>
    <w:family w:val="auto"/>
    <w:pitch w:val="variable"/>
  </w:font>
  <w:font w:name="Calibri">
    <w:charset w:val="ee"/>
    <w:family w:val="swiss"/>
    <w:pitch w:val="variable"/>
  </w:font>
  <w:font w:name="Corbel">
    <w:charset w:val="ee"/>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Zpa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Zhlav"/>
      <w:spacing w:before="0" w:after="240"/>
      <w:jc w:val="right"/>
      <w:rPr>
        <w:drawing>
          <wp:inline distT="0" distB="0" distL="0" distR="0">
            <wp:extent cx="1218565" cy="8610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218565" cy="861060"/>
                    </a:xfrm>
                    <a:prstGeom prst="rect">
                      <a:avLst/>
                    </a:prstGeom>
                    <a:noFill/>
                    <a:ln w="9525">
                      <a:noFill/>
                      <a:miter lim="800000"/>
                      <a:headEnd/>
                      <a:tailEnd/>
                    </a:ln>
                  </pic:spPr>
                </pic:pic>
              </a:graphicData>
            </a:graphic>
          </wp:inline>
        </w:drawing>
      </w:rPr>
    </w:pPr>
    <w:r>
      <w:rPr>
        <w:drawing>
          <wp:inline distT="0" distB="0" distL="0" distR="0">
            <wp:extent cx="1218565" cy="8610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218565" cy="861060"/>
                    </a:xfrm>
                    <a:prstGeom prst="rect">
                      <a:avLst/>
                    </a:prstGeom>
                    <a:noFill/>
                    <a:ln w="9525">
                      <a:noFill/>
                      <a:miter lim="800000"/>
                      <a:headEnd/>
                      <a:tailEnd/>
                    </a:ln>
                  </pic:spPr>
                </pic:pic>
              </a:graphicData>
            </a:graphic>
          </wp:inline>
        </w:drawing>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lvl>
  </w:abstractNum>
  <w:abstractNum w:abstractNumId="3">
    <w:lvl w:ilvl="0">
      <w:start w:val="1"/>
      <w:numFmt w:val="decimal"/>
      <w:lvlText w:val="%1."/>
      <w:lvlJc w:val="left"/>
      <w:pPr>
        <w:ind w:left="720" w:hanging="360"/>
      </w:pPr>
      <w:rPr>
        <w:color w:val="00000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pPr>
      <w:widowControl/>
      <w:suppressAutoHyphens w:val="true"/>
      <w:bidi w:val="0"/>
      <w:spacing w:lineRule="atLeast" w:line="240" w:before="80" w:after="120"/>
      <w:jc w:val="both"/>
    </w:pPr>
    <w:rPr>
      <w:rFonts w:ascii="Georgia" w:hAnsi="Georgia" w:eastAsia="Cambria" w:cs="Georgia"/>
      <w:color w:val="auto"/>
      <w:sz w:val="22"/>
      <w:szCs w:val="22"/>
      <w:lang w:val="cs-CZ" w:bidi="ar-SA" w:eastAsia="zh-CN"/>
    </w:rPr>
  </w:style>
  <w:style w:type="paragraph" w:styleId="Nadpis1">
    <w:name w:val="Nadpis 1"/>
    <w:basedOn w:val="Normal"/>
    <w:next w:val="Normal"/>
    <w:pPr>
      <w:keepNext/>
      <w:keepLines/>
      <w:numPr>
        <w:ilvl w:val="0"/>
        <w:numId w:val="1"/>
      </w:numPr>
      <w:spacing w:before="480" w:after="0"/>
      <w:jc w:val="left"/>
      <w:outlineLvl w:val="0"/>
      <w:outlineLvl w:val="0"/>
    </w:pPr>
    <w:rPr>
      <w:rFonts w:ascii="Trebuchet MS" w:hAnsi="Trebuchet MS" w:eastAsia="MS Gothic;ＭＳ ゴシック" w:cs="Times New Roman"/>
      <w:b/>
      <w:bCs/>
      <w:color w:val="C9161E"/>
      <w:sz w:val="32"/>
      <w:szCs w:val="32"/>
    </w:rPr>
  </w:style>
  <w:style w:type="paragraph" w:styleId="Nadpis2">
    <w:name w:val="Nadpis 2"/>
    <w:basedOn w:val="Normal"/>
    <w:next w:val="Normal"/>
    <w:pPr>
      <w:keepNext/>
      <w:keepLines/>
      <w:numPr>
        <w:ilvl w:val="1"/>
        <w:numId w:val="1"/>
      </w:numPr>
      <w:spacing w:before="200" w:after="0"/>
      <w:outlineLvl w:val="1"/>
      <w:outlineLvl w:val="1"/>
    </w:pPr>
    <w:rPr>
      <w:rFonts w:ascii="Trebuchet MS" w:hAnsi="Trebuchet MS" w:eastAsia="MS Gothic;ＭＳ ゴシック" w:cs="Times New Roman"/>
      <w:b/>
      <w:bCs/>
      <w:color w:val="000000"/>
      <w:sz w:val="26"/>
      <w:szCs w:val="26"/>
    </w:rPr>
  </w:style>
  <w:style w:type="paragraph" w:styleId="Nadpis3">
    <w:name w:val="Nadpis 3"/>
    <w:basedOn w:val="Normal"/>
    <w:next w:val="Normal"/>
    <w:pPr>
      <w:keepNext/>
      <w:keepLines/>
      <w:numPr>
        <w:ilvl w:val="2"/>
        <w:numId w:val="1"/>
      </w:numPr>
      <w:spacing w:before="200" w:after="0"/>
      <w:outlineLvl w:val="2"/>
      <w:outlineLvl w:val="2"/>
    </w:pPr>
    <w:rPr>
      <w:rFonts w:ascii="Arial" w:hAnsi="Arial" w:eastAsia="MS Gothic;ＭＳ ゴシック" w:cs="Times New Roman"/>
      <w:b/>
      <w:bCs/>
      <w:color w:val="000000"/>
    </w:rPr>
  </w:style>
  <w:style w:type="character" w:styleId="WW8Num1z0">
    <w:name w:val="WW8Num1z0"/>
    <w:rPr>
      <w:rFonts w:ascii="Symbol" w:hAnsi="Symbol" w:cs="Symbol"/>
    </w:rPr>
  </w:style>
  <w:style w:type="character" w:styleId="WW8Num1z2">
    <w:name w:val="WW8Num1z2"/>
    <w:rPr>
      <w:rFonts w:ascii="Courier New" w:hAnsi="Courier New" w:cs="Courier New"/>
    </w:rPr>
  </w:style>
  <w:style w:type="character" w:styleId="WW8Num1z3">
    <w:name w:val="WW8Num1z3"/>
    <w:rPr>
      <w:rFonts w:ascii="Wingdings" w:hAnsi="Wingdings" w:cs="Wingdings"/>
    </w:rPr>
  </w:style>
  <w:style w:type="character" w:styleId="WW8Num2z0">
    <w:name w:val="WW8Num2z0"/>
    <w:rPr/>
  </w:style>
  <w:style w:type="character" w:styleId="WW8Num3z0">
    <w:name w:val="WW8Num3z0"/>
    <w:rPr/>
  </w:style>
  <w:style w:type="character" w:styleId="WW8Num4z0">
    <w:name w:val="WW8Num4z0"/>
    <w:rPr/>
  </w:style>
  <w:style w:type="character" w:styleId="WW8Num5z0">
    <w:name w:val="WW8Num5z0"/>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0">
    <w:name w:val="WW8Num9z0"/>
    <w:rPr>
      <w:rFonts w:ascii="Symbol" w:hAnsi="Symbol" w:cs="Symbol"/>
    </w:rPr>
  </w:style>
  <w:style w:type="character" w:styleId="WW8Num10z0">
    <w:name w:val="WW8Num10z0"/>
    <w:rPr/>
  </w:style>
  <w:style w:type="character" w:styleId="WW8Num11z0">
    <w:name w:val="WW8Num11z0"/>
    <w:rPr>
      <w:rFonts w:ascii="Symbol" w:hAnsi="Symbol" w:cs="Symbol"/>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Symbol" w:hAnsi="Symbol" w:cs="Symbol"/>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WW8Num15z0">
    <w:name w:val="WW8Num15z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Calibri" w:hAnsi="Calibri" w:eastAsia="Calibri" w:cs="Times New Roman"/>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19z3">
    <w:name w:val="WW8Num19z3"/>
    <w:rPr>
      <w:rFonts w:ascii="Symbol" w:hAnsi="Symbol" w:cs="Symbol"/>
    </w:rPr>
  </w:style>
  <w:style w:type="character" w:styleId="WW8Num20z0">
    <w:name w:val="WW8Num20z0"/>
    <w:rPr>
      <w:rFonts w:ascii="Symbol" w:hAnsi="Symbol" w:cs="Symbol"/>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1z0">
    <w:name w:val="WW8Num21z0"/>
    <w:rPr>
      <w:color w:val="00000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Standardnpsmoodstavce">
    <w:name w:val="Standardní písmo odstavce"/>
    <w:rPr/>
  </w:style>
  <w:style w:type="character" w:styleId="Nadpis1Char">
    <w:name w:val="Nadpis 1 Char"/>
    <w:rPr>
      <w:rFonts w:ascii="Trebuchet MS" w:hAnsi="Trebuchet MS" w:eastAsia="MS Gothic;ＭＳ ゴシック" w:cs="Times New Roman"/>
      <w:b/>
      <w:bCs/>
      <w:color w:val="C9161E"/>
      <w:sz w:val="32"/>
      <w:szCs w:val="32"/>
    </w:rPr>
  </w:style>
  <w:style w:type="character" w:styleId="Nadpis2Char">
    <w:name w:val="Nadpis 2 Char"/>
    <w:rPr>
      <w:rFonts w:ascii="Trebuchet MS" w:hAnsi="Trebuchet MS" w:eastAsia="MS Gothic;ＭＳ ゴシック" w:cs="Times New Roman"/>
      <w:b/>
      <w:bCs/>
      <w:color w:val="000000"/>
      <w:sz w:val="26"/>
      <w:szCs w:val="26"/>
    </w:rPr>
  </w:style>
  <w:style w:type="character" w:styleId="Nadpis3Char">
    <w:name w:val="Nadpis 3 Char"/>
    <w:rPr>
      <w:rFonts w:ascii="Arial" w:hAnsi="Arial" w:eastAsia="MS Gothic;ＭＳ ゴシック" w:cs="Times New Roman"/>
      <w:b/>
      <w:bCs/>
      <w:color w:val="000000"/>
    </w:rPr>
  </w:style>
  <w:style w:type="character" w:styleId="ZhlavChar">
    <w:name w:val="Záhlaví Char"/>
    <w:rPr>
      <w:rFonts w:ascii="Corbel" w:hAnsi="Corbel" w:cs="Corbel"/>
    </w:rPr>
  </w:style>
  <w:style w:type="character" w:styleId="ZpatChar">
    <w:name w:val="Zápatí Char"/>
    <w:rPr>
      <w:rFonts w:ascii="Corbel" w:hAnsi="Corbel" w:cs="Corbel"/>
    </w:rPr>
  </w:style>
  <w:style w:type="character" w:styleId="Odrky">
    <w:name w:val="Odrážky"/>
    <w:rPr>
      <w:rFonts w:ascii="OpenSymbol" w:hAnsi="OpenSymbol" w:eastAsia="OpenSymbol" w:cs="OpenSymbol"/>
    </w:rPr>
  </w:style>
  <w:style w:type="character" w:styleId="Internetovodkaz">
    <w:name w:val="Internetový odkaz"/>
    <w:rPr>
      <w:color w:val="000080"/>
      <w:u w:val="single"/>
      <w:lang w:val="zxx" w:eastAsia="zxx" w:bidi="zxx"/>
    </w:rPr>
  </w:style>
  <w:style w:type="paragraph" w:styleId="Nadpis">
    <w:name w:val="Nadpis"/>
    <w:basedOn w:val="Normal"/>
    <w:next w:val="Tlotextu"/>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Slovanseznam">
    <w:name w:val="Číslovaný seznam"/>
    <w:basedOn w:val="Normal"/>
    <w:pPr>
      <w:numPr>
        <w:ilvl w:val="0"/>
        <w:numId w:val="2"/>
      </w:numPr>
      <w:spacing w:before="80" w:after="120"/>
      <w:contextualSpacing/>
    </w:pPr>
    <w:rPr/>
  </w:style>
  <w:style w:type="paragraph" w:styleId="Zhlav">
    <w:name w:val="Záhlaví"/>
    <w:basedOn w:val="Normal"/>
    <w:pPr>
      <w:spacing w:lineRule="auto" w:line="240" w:before="0" w:after="0"/>
    </w:pPr>
    <w:rPr/>
  </w:style>
  <w:style w:type="paragraph" w:styleId="Zpat">
    <w:name w:val="Zápatí"/>
    <w:basedOn w:val="Normal"/>
    <w:pPr>
      <w:spacing w:lineRule="auto" w:line="240" w:before="0" w:after="0"/>
    </w:pPr>
    <w:rPr/>
  </w:style>
  <w:style w:type="paragraph" w:styleId="Barevnseznamzvraznn1">
    <w:name w:val="Barevný seznam – zvýraznění 1"/>
    <w:basedOn w:val="Normal"/>
    <w:pPr>
      <w:spacing w:before="80" w:after="120"/>
      <w:ind w:left="720" w:right="0" w:hanging="0"/>
      <w:contextualSpacing/>
    </w:pPr>
    <w:rPr/>
  </w:style>
  <w:style w:type="paragraph" w:styleId="Obsahtabulky">
    <w:name w:val="Obsah tabulky"/>
    <w:basedOn w:val="Normal"/>
    <w:pPr>
      <w:suppressLineNumbers/>
    </w:pPr>
    <w:rPr/>
  </w:style>
  <w:style w:type="paragraph" w:styleId="Nadpistabulky">
    <w:name w:val="Nadpis tabulky"/>
    <w:basedOn w:val="Obsahtabulky"/>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ic.duolingo.com/s3/DuolingoReport_Final.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12.wmf"/>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2016-02-22T18:09:00Z</dcterms:created>
  <dc:creator>Petr Návrat</dc:creator>
  <dc:language>cs-CZ</dc:language>
  <cp:lastModifiedBy>Vinická Věra Bc. (IPR\SSP)</cp:lastModifiedBy>
  <cp:lastPrinted>2015-10-12T10:42:00Z</cp:lastPrinted>
  <dcterms:modified xsi:type="dcterms:W3CDTF">2016-02-23T09:41:00Z</dcterms:modified>
  <cp:revision>3</cp:revision>
</cp:coreProperties>
</file>