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sz w:val="22"/>
          <w:szCs w:val="22"/>
        </w:rPr>
        <w:t xml:space="preserve"/>
      </w:r>
    </w:p>
    <w:p>
      <w:pPr>
        <w:spacing w:after="800"/>
        <w:jc w:val="center"/>
      </w:pPr>
      <w:r>
        <w:rPr>
          <w:b/>
          <w:bCs/>
          <w:color w:val="003366"/>
          <w:sz w:val="48"/>
          <w:szCs w:val="48"/>
        </w:rPr>
        <w:t xml:space="preserve">PERSONAL LOAN POLICY</w:t>
      </w:r>
    </w:p>
    <w:p>
      <w:pPr>
        <w:spacing w:after="1200"/>
        <w:jc w:val="center"/>
      </w:pPr>
      <w:r>
        <w:rPr>
          <w:color w:val="1F4E78"/>
          <w:sz w:val="28"/>
          <w:szCs w:val="28"/>
        </w:rPr>
        <w:t xml:space="preserve">Product Guidelines &amp; Terms</w:t>
      </w:r>
    </w:p>
    <w:p>
      <w:pPr>
        <w:spacing w:after="300"/>
        <w:jc w:val="center"/>
      </w:pPr>
      <w:r>
        <w:rPr>
          <w:b/>
          <w:bCs/>
          <w:sz w:val="26"/>
          <w:szCs w:val="26"/>
        </w:rPr>
        <w:t xml:space="preserve">FINTECH BANK LIMITED</w:t>
      </w:r>
    </w:p>
    <w:p>
      <w:pPr>
        <w:spacing w:after="2000"/>
        <w:jc w:val="center"/>
      </w:pPr>
      <w:r>
        <w:rPr>
          <w:sz w:val="24"/>
          <w:szCs w:val="24"/>
        </w:rPr>
        <w:t xml:space="preserve">Registered Office: Mumbai, Maharashtra</w:t>
      </w:r>
    </w:p>
    <w:p>
      <w:pPr>
        <w:spacing w:after="100"/>
        <w:jc w:val="center"/>
      </w:pPr>
      <w:r>
        <w:rPr>
          <w:sz w:val="22"/>
          <w:szCs w:val="22"/>
        </w:rPr>
        <w:t xml:space="preserve">Policy Version: 2.1</w:t>
      </w:r>
    </w:p>
    <w:p>
      <w:pPr>
        <w:spacing w:after="100"/>
        <w:jc w:val="center"/>
      </w:pPr>
      <w:r>
        <w:rPr>
          <w:sz w:val="22"/>
          <w:szCs w:val="22"/>
        </w:rPr>
        <w:t xml:space="preserve">Effective Date: April 1, 2024</w:t>
      </w:r>
    </w:p>
    <w:p>
      <w:pPr>
        <w:jc w:val="center"/>
      </w:pPr>
      <w:r>
        <w:rPr>
          <w:sz w:val="22"/>
          <w:szCs w:val="22"/>
        </w:rPr>
        <w:t xml:space="preserve">Last Updated: March 15, 2024</w:t>
      </w:r>
    </w:p>
    <w:r>
      <w:br w:type="page"/>
    </w:r>
    <w:p>
      <w:pPr>
        <w:pStyle w:val="Heading1"/>
        <w:spacing w:after="300"/>
      </w:pPr>
      <w:r>
        <w:rPr>
          <w:b/>
          <w:bCs/>
          <w:color w:val="003366"/>
          <w:sz w:val="32"/>
          <w:szCs w:val="32"/>
        </w:rPr>
        <w:t xml:space="preserve">Table of Contents</w:t>
      </w:r>
    </w:p>
    <w:p>
      <w:pPr>
        <w:spacing w:after="120" w:line="360"/>
      </w:pPr>
      <w:r>
        <w:rPr>
          <w:b w:val="false"/>
          <w:bCs w:val="false"/>
          <w:sz w:val="22"/>
          <w:szCs w:val="22"/>
        </w:rPr>
        <w:t xml:space="preserve">1. Introduction &amp; Overview...................................................................................................4</w:t>
      </w:r>
    </w:p>
    <w:p>
      <w:pPr>
        <w:spacing w:after="120" w:line="360"/>
      </w:pPr>
      <w:r>
        <w:rPr>
          <w:b w:val="false"/>
          <w:bCs w:val="false"/>
          <w:sz w:val="22"/>
          <w:szCs w:val="22"/>
        </w:rPr>
        <w:t xml:space="preserve">2. Eligibility Criteria...........................................................................................................5</w:t>
      </w:r>
    </w:p>
    <w:p>
      <w:pPr>
        <w:spacing w:after="120" w:line="360"/>
      </w:pPr>
      <w:r>
        <w:rPr>
          <w:b w:val="false"/>
          <w:bCs w:val="false"/>
          <w:sz w:val="22"/>
          <w:szCs w:val="22"/>
        </w:rPr>
        <w:t xml:space="preserve">3. CIBIL Score &amp; Credit Requirements......................................................................................8</w:t>
      </w:r>
    </w:p>
    <w:p>
      <w:pPr>
        <w:spacing w:after="120" w:line="360"/>
      </w:pPr>
      <w:r>
        <w:rPr>
          <w:b w:val="false"/>
          <w:bCs w:val="false"/>
          <w:sz w:val="22"/>
          <w:szCs w:val="22"/>
        </w:rPr>
        <w:t xml:space="preserve">4. Loan Amount &amp; Tenure.......................................................................................................10</w:t>
      </w:r>
    </w:p>
    <w:p>
      <w:pPr>
        <w:spacing w:after="120" w:line="360"/>
      </w:pPr>
      <w:r>
        <w:rPr>
          <w:b w:val="false"/>
          <w:bCs w:val="false"/>
          <w:sz w:val="22"/>
          <w:szCs w:val="22"/>
        </w:rPr>
        <w:t xml:space="preserve">5. Interest Rates &amp; Pricing....................................................................................................12</w:t>
      </w:r>
    </w:p>
    <w:p>
      <w:pPr>
        <w:spacing w:after="120" w:line="360"/>
      </w:pPr>
      <w:r>
        <w:rPr>
          <w:b w:val="false"/>
          <w:bCs w:val="false"/>
          <w:sz w:val="22"/>
          <w:szCs w:val="22"/>
        </w:rPr>
        <w:t xml:space="preserve">6. Documentation Requirements...............................................................................................14</w:t>
      </w:r>
    </w:p>
    <w:p>
      <w:pPr>
        <w:spacing w:after="120" w:line="360"/>
      </w:pPr>
      <w:r>
        <w:rPr>
          <w:b w:val="false"/>
          <w:bCs w:val="false"/>
          <w:sz w:val="22"/>
          <w:szCs w:val="22"/>
        </w:rPr>
        <w:t xml:space="preserve">7. Income Verification Process................................................................................................16</w:t>
      </w:r>
    </w:p>
    <w:p>
      <w:pPr>
        <w:spacing w:after="120" w:line="360"/>
      </w:pPr>
      <w:r>
        <w:rPr>
          <w:b w:val="false"/>
          <w:bCs w:val="false"/>
          <w:sz w:val="22"/>
          <w:szCs w:val="22"/>
        </w:rPr>
        <w:t xml:space="preserve">8. Processing &amp; Disbursement..................................................................................................18</w:t>
      </w:r>
    </w:p>
    <w:p>
      <w:pPr>
        <w:spacing w:after="120" w:line="360"/>
      </w:pPr>
      <w:r>
        <w:rPr>
          <w:b w:val="false"/>
          <w:bCs w:val="false"/>
          <w:sz w:val="22"/>
          <w:szCs w:val="22"/>
        </w:rPr>
        <w:t xml:space="preserve">9. Charges &amp; Fees.................................................................................................................20</w:t>
      </w:r>
    </w:p>
    <w:p>
      <w:pPr>
        <w:spacing w:after="120" w:line="360"/>
      </w:pPr>
      <w:r>
        <w:rPr>
          <w:b w:val="false"/>
          <w:bCs w:val="false"/>
          <w:sz w:val="22"/>
          <w:szCs w:val="22"/>
        </w:rPr>
        <w:t xml:space="preserve">10. Default &amp; Recovery.........................................................................................................22</w:t>
      </w:r>
    </w:p>
    <w:p>
      <w:pPr>
        <w:spacing w:after="120" w:line="360"/>
      </w:pPr>
      <w:r>
        <w:rPr>
          <w:b w:val="false"/>
          <w:bCs w:val="false"/>
          <w:sz w:val="22"/>
          <w:szCs w:val="22"/>
        </w:rPr>
        <w:t xml:space="preserve">11. Prepayment &amp; Closure.....................................................................................................24</w:t>
      </w:r>
    </w:p>
    <w:p>
      <w:pPr>
        <w:spacing w:after="120" w:line="360"/>
      </w:pPr>
      <w:r>
        <w:rPr>
          <w:b w:val="false"/>
          <w:bCs w:val="false"/>
          <w:sz w:val="22"/>
          <w:szCs w:val="22"/>
        </w:rPr>
        <w:t xml:space="preserve">12. Co-applicant &amp; Guarantor Policy........................................................................................25</w:t>
      </w:r>
    </w:p>
    <w:p>
      <w:pPr>
        <w:spacing w:after="120" w:line="360"/>
      </w:pPr>
      <w:r>
        <w:rPr>
          <w:b w:val="false"/>
          <w:bCs w:val="false"/>
          <w:sz w:val="22"/>
          <w:szCs w:val="22"/>
        </w:rPr>
        <w:t xml:space="preserve">13. Special Schemes.............................................................................................................26</w:t>
      </w:r>
    </w:p>
    <w:p>
      <w:pPr>
        <w:spacing w:after="120" w:line="360"/>
      </w:pPr>
      <w:r>
        <w:rPr>
          <w:b w:val="false"/>
          <w:bCs w:val="false"/>
          <w:sz w:val="22"/>
          <w:szCs w:val="22"/>
        </w:rPr>
        <w:t xml:space="preserve">14. RBI Compliance &amp; Legal Clauses.........................................................................................27</w:t>
      </w:r>
    </w:p>
    <w:p>
      <w:pPr>
        <w:spacing w:after="120" w:line="360"/>
      </w:pPr>
      <w:r>
        <w:rPr>
          <w:b w:val="false"/>
          <w:bCs w:val="false"/>
          <w:sz w:val="22"/>
          <w:szCs w:val="22"/>
        </w:rPr>
        <w:t xml:space="preserve">15. Grievance Redressal &amp; Dispute Resolution.........................................................................28</w:t>
      </w:r>
    </w:p>
    <w:p>
      <w:pPr>
        <w:spacing w:after="120" w:line="360"/>
      </w:pPr>
      <w:r>
        <w:rPr>
          <w:b w:val="false"/>
          <w:bCs w:val="false"/>
          <w:sz w:val="22"/>
          <w:szCs w:val="22"/>
        </w:rPr>
        <w:t xml:space="preserve">16. Appendices....................................................................................................................29</w:t>
      </w:r>
    </w:p>
    <w:r>
      <w:br w:type="page"/>
    </w:r>
    <w:p>
      <w:pPr>
        <w:pStyle w:val="Heading1"/>
        <w:spacing w:after="200" w:before="400"/>
      </w:pPr>
      <w:r>
        <w:rPr>
          <w:b/>
          <w:bCs/>
          <w:color w:val="003366"/>
          <w:sz w:val="32"/>
          <w:szCs w:val="32"/>
        </w:rPr>
        <w:t xml:space="preserve">1. Introduction &amp; Overview</w:t>
      </w:r>
    </w:p>
    <w:p>
      <w:pPr>
        <w:spacing w:after="120" w:line="360"/>
      </w:pPr>
      <w:r>
        <w:rPr>
          <w:b w:val="false"/>
          <w:bCs w:val="false"/>
          <w:sz w:val="22"/>
          <w:szCs w:val="22"/>
        </w:rPr>
        <w:t xml:space="preserve">FinTech Bank Limited, incorporated under the Companies Act, 2013, and licensed as a Scheduled Commercial Bank by the Reserve Bank of India, offers Personal Loans to eligible individuals meeting the criteria outlined in this policy document.</w:t>
      </w:r>
    </w:p>
    <w:p>
      <w:pPr>
        <w:spacing w:after="120" w:line="360"/>
      </w:pPr>
      <w:r>
        <w:rPr>
          <w:b w:val="false"/>
          <w:bCs w:val="false"/>
          <w:sz w:val="22"/>
          <w:szCs w:val="22"/>
        </w:rPr>
        <w:t xml:space="preserve">This document serves as the binding policy guideline for all Personal Loan decisions. All applicants must comply with these terms and conditions. The bank reserves the right to modify these guidelines periodically with prior notification, as permitted under RBI regulations.</w:t>
      </w:r>
    </w:p>
    <w:p>
      <w:pPr>
        <w:pStyle w:val="Heading3"/>
        <w:spacing w:after="100" w:before="200"/>
      </w:pPr>
      <w:r>
        <w:rPr>
          <w:b/>
          <w:bCs/>
          <w:color w:val="1F4E78"/>
          <w:sz w:val="24"/>
          <w:szCs w:val="24"/>
        </w:rPr>
        <w:t xml:space="preserve">1.1 Purpose of Personal Loan</w:t>
      </w:r>
    </w:p>
    <w:p>
      <w:pPr>
        <w:pStyle w:val="ListParagraph"/>
        <w:numPr>
          <w:ilvl w:val="0"/>
          <w:numId w:val="2"/>
        </w:numPr>
      </w:pPr>
      <w:r>
        <w:rPr>
          <w:sz w:val="22"/>
          <w:szCs w:val="22"/>
        </w:rPr>
        <w:t xml:space="preserve">Debt consolidation and repayment of existing liabilities</w:t>
      </w:r>
    </w:p>
    <w:p>
      <w:pPr>
        <w:pStyle w:val="ListParagraph"/>
        <w:numPr>
          <w:ilvl w:val="0"/>
          <w:numId w:val="2"/>
        </w:numPr>
      </w:pPr>
      <w:r>
        <w:rPr>
          <w:sz w:val="22"/>
          <w:szCs w:val="22"/>
        </w:rPr>
        <w:t xml:space="preserve">Home improvement and renovation</w:t>
      </w:r>
    </w:p>
    <w:p>
      <w:pPr>
        <w:pStyle w:val="ListParagraph"/>
        <w:numPr>
          <w:ilvl w:val="0"/>
          <w:numId w:val="2"/>
        </w:numPr>
      </w:pPr>
      <w:r>
        <w:rPr>
          <w:sz w:val="22"/>
          <w:szCs w:val="22"/>
        </w:rPr>
        <w:t xml:space="preserve">Medical and healthcare expenses</w:t>
      </w:r>
    </w:p>
    <w:p>
      <w:pPr>
        <w:pStyle w:val="ListParagraph"/>
        <w:numPr>
          <w:ilvl w:val="0"/>
          <w:numId w:val="2"/>
        </w:numPr>
      </w:pPr>
      <w:r>
        <w:rPr>
          <w:sz w:val="22"/>
          <w:szCs w:val="22"/>
        </w:rPr>
        <w:t xml:space="preserve">Wedding and family events</w:t>
      </w:r>
    </w:p>
    <w:p>
      <w:pPr>
        <w:pStyle w:val="ListParagraph"/>
        <w:numPr>
          <w:ilvl w:val="0"/>
          <w:numId w:val="2"/>
        </w:numPr>
      </w:pPr>
      <w:r>
        <w:rPr>
          <w:sz w:val="22"/>
          <w:szCs w:val="22"/>
        </w:rPr>
        <w:t xml:space="preserve">Travel and vacation</w:t>
      </w:r>
    </w:p>
    <w:p>
      <w:pPr>
        <w:pStyle w:val="ListParagraph"/>
        <w:numPr>
          <w:ilvl w:val="0"/>
          <w:numId w:val="2"/>
        </w:numPr>
      </w:pPr>
      <w:r>
        <w:rPr>
          <w:sz w:val="22"/>
          <w:szCs w:val="22"/>
        </w:rPr>
        <w:t xml:space="preserve">Educational expenses (non-tuition)</w:t>
      </w:r>
    </w:p>
    <w:p>
      <w:pPr>
        <w:pStyle w:val="ListParagraph"/>
        <w:numPr>
          <w:ilvl w:val="0"/>
          <w:numId w:val="2"/>
        </w:numPr>
      </w:pPr>
      <w:r>
        <w:rPr>
          <w:sz w:val="22"/>
          <w:szCs w:val="22"/>
        </w:rPr>
        <w:t xml:space="preserve">Business support (for small business owners)</w:t>
      </w:r>
    </w:p>
    <w:p>
      <w:pPr>
        <w:pStyle w:val="ListParagraph"/>
        <w:numPr>
          <w:ilvl w:val="0"/>
          <w:numId w:val="2"/>
        </w:numPr>
      </w:pPr>
      <w:r>
        <w:rPr>
          <w:sz w:val="22"/>
          <w:szCs w:val="22"/>
        </w:rPr>
        <w:t xml:space="preserve">Other personal needs (subject to bank approval)</w:t>
      </w:r>
    </w:p>
    <w:r>
      <w:br w:type="page"/>
    </w:r>
    <w:p>
      <w:pPr>
        <w:pStyle w:val="Heading1"/>
        <w:spacing w:after="200" w:before="400"/>
      </w:pPr>
      <w:r>
        <w:rPr>
          <w:b/>
          <w:bCs/>
          <w:color w:val="003366"/>
          <w:sz w:val="32"/>
          <w:szCs w:val="32"/>
        </w:rPr>
        <w:t xml:space="preserve">2. Eligibility Criteria</w:t>
      </w:r>
    </w:p>
    <w:p>
      <w:pPr>
        <w:pStyle w:val="Heading2"/>
        <w:spacing w:after="150" w:before="300"/>
      </w:pPr>
      <w:r>
        <w:rPr>
          <w:b/>
          <w:bCs/>
          <w:color w:val="1F4E78"/>
          <w:sz w:val="28"/>
          <w:szCs w:val="28"/>
        </w:rPr>
        <w:t xml:space="preserve">2.1 Age Requirements</w:t>
      </w:r>
    </w:p>
    <w:p>
      <w:pPr>
        <w:spacing w:after="120" w:line="360"/>
      </w:pPr>
      <w:r>
        <w:rPr>
          <w:b w:val="false"/>
          <w:bCs w:val="false"/>
          <w:sz w:val="22"/>
          <w:szCs w:val="22"/>
        </w:rPr>
        <w:t xml:space="preserve">Applicants must meet the following age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Category</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Minimum Age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Maximum Age (Maturity)</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Preferred</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 Employees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23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25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Government Employees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21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65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Non-Resident Indians (NRI)</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25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58 years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Conditional</w:t>
            </w:r>
          </w:p>
        </w:tc>
      </w:tr>
    </w:tbl>
    <w:p>
      <w:pPr>
        <w:spacing w:after="120" w:line="360"/>
      </w:pPr>
      <w:r>
        <w:rPr>
          <w:b w:val="false"/>
          <w:bCs w:val="false"/>
          <w:sz w:val="22"/>
          <w:szCs w:val="22"/>
        </w:rPr>
        <w:t xml:space="preserve">Applicants must provide valid proof of age through government-issued identification documents.</w:t>
      </w:r>
    </w:p>
    <w:p>
      <w:pPr>
        <w:pStyle w:val="Heading2"/>
        <w:spacing w:after="150" w:before="300"/>
      </w:pPr>
      <w:r>
        <w:rPr>
          <w:b/>
          <w:bCs/>
          <w:color w:val="1F4E78"/>
          <w:sz w:val="28"/>
          <w:szCs w:val="28"/>
        </w:rPr>
        <w:t xml:space="preserve">2.2 Citizenship &amp; Residential Status</w:t>
      </w:r>
    </w:p>
    <w:p>
      <w:pPr>
        <w:pStyle w:val="ListParagraph"/>
        <w:numPr>
          <w:ilvl w:val="0"/>
          <w:numId w:val="2"/>
        </w:numPr>
      </w:pPr>
      <w:r>
        <w:rPr>
          <w:sz w:val="22"/>
          <w:szCs w:val="22"/>
        </w:rPr>
        <w:t xml:space="preserve">Indian Citizens - Eligible for all loan types</w:t>
      </w:r>
    </w:p>
    <w:p>
      <w:pPr>
        <w:pStyle w:val="ListParagraph"/>
        <w:numPr>
          <w:ilvl w:val="0"/>
          <w:numId w:val="2"/>
        </w:numPr>
      </w:pPr>
      <w:r>
        <w:rPr>
          <w:sz w:val="22"/>
          <w:szCs w:val="22"/>
        </w:rPr>
        <w:t xml:space="preserve">NRI (Non-Resident Indians) - Eligible with additional documentation and minimum income requirements</w:t>
      </w:r>
    </w:p>
    <w:p>
      <w:pPr>
        <w:pStyle w:val="ListParagraph"/>
        <w:numPr>
          <w:ilvl w:val="0"/>
          <w:numId w:val="2"/>
        </w:numPr>
      </w:pPr>
      <w:r>
        <w:rPr>
          <w:sz w:val="22"/>
          <w:szCs w:val="22"/>
        </w:rPr>
        <w:t xml:space="preserve">Foreign nationals on valid work visa - Eligible with employer verification and security deposit</w:t>
      </w:r>
    </w:p>
    <w:p>
      <w:pPr>
        <w:pStyle w:val="ListParagraph"/>
        <w:numPr>
          <w:ilvl w:val="0"/>
          <w:numId w:val="2"/>
        </w:numPr>
      </w:pPr>
      <w:r>
        <w:rPr>
          <w:sz w:val="22"/>
          <w:szCs w:val="22"/>
        </w:rPr>
        <w:t xml:space="preserve">Persons of Indian Origin (PIO) - Eligible on case-by-case basis</w:t>
      </w:r>
    </w:p>
    <w:p>
      <w:pPr>
        <w:spacing w:after="120" w:line="360"/>
      </w:pPr>
      <w:r>
        <w:rPr>
          <w:b w:val="false"/>
          <w:bCs w:val="false"/>
          <w:sz w:val="22"/>
          <w:szCs w:val="22"/>
        </w:rPr>
        <w:t xml:space="preserve">All applicants must have a valid PAN (Permanent Account Number) issued by the Income Tax Department.</w:t>
      </w:r>
    </w:p>
    <w:p>
      <w:pPr>
        <w:pStyle w:val="Heading2"/>
        <w:spacing w:after="150" w:before="300"/>
      </w:pPr>
      <w:r>
        <w:rPr>
          <w:b/>
          <w:bCs/>
          <w:color w:val="1F4E78"/>
          <w:sz w:val="28"/>
          <w:szCs w:val="28"/>
        </w:rPr>
        <w:t xml:space="preserve">2.3 Employment Type &amp; Tenure</w:t>
      </w:r>
    </w:p>
    <w:p>
      <w:pPr>
        <w:pStyle w:val="Heading3"/>
        <w:spacing w:after="100" w:before="200"/>
      </w:pPr>
      <w:r>
        <w:rPr>
          <w:b/>
          <w:bCs/>
          <w:color w:val="1F4E78"/>
          <w:sz w:val="24"/>
          <w:szCs w:val="24"/>
        </w:rPr>
        <w:t xml:space="preserve">2.3.1 Salaried Employees (Private Sector)</w:t>
      </w:r>
    </w:p>
    <w:p>
      <w:pPr>
        <w:pStyle w:val="ListParagraph"/>
        <w:numPr>
          <w:ilvl w:val="0"/>
          <w:numId w:val="2"/>
        </w:numPr>
      </w:pPr>
      <w:r>
        <w:rPr>
          <w:sz w:val="22"/>
          <w:szCs w:val="22"/>
        </w:rPr>
        <w:t xml:space="preserve">Minimum tenure with current employer: 2 years</w:t>
      </w:r>
    </w:p>
    <w:p>
      <w:pPr>
        <w:pStyle w:val="ListParagraph"/>
        <w:numPr>
          <w:ilvl w:val="0"/>
          <w:numId w:val="2"/>
        </w:numPr>
      </w:pPr>
      <w:r>
        <w:rPr>
          <w:sz w:val="22"/>
          <w:szCs w:val="22"/>
        </w:rPr>
        <w:t xml:space="preserve">Total work experience: Minimum 3 years in same field</w:t>
      </w:r>
    </w:p>
    <w:p>
      <w:pPr>
        <w:pStyle w:val="ListParagraph"/>
        <w:numPr>
          <w:ilvl w:val="0"/>
          <w:numId w:val="2"/>
        </w:numPr>
      </w:pPr>
      <w:r>
        <w:rPr>
          <w:sz w:val="22"/>
          <w:szCs w:val="22"/>
        </w:rPr>
        <w:t xml:space="preserve">Probation period: Not eligible during probation; must complete 6 months minimum</w:t>
      </w:r>
    </w:p>
    <w:p>
      <w:pPr>
        <w:pStyle w:val="ListParagraph"/>
        <w:numPr>
          <w:ilvl w:val="0"/>
          <w:numId w:val="2"/>
        </w:numPr>
      </w:pPr>
      <w:r>
        <w:rPr>
          <w:sz w:val="22"/>
          <w:szCs w:val="22"/>
        </w:rPr>
        <w:t xml:space="preserve">Notice period: Must not have active notice period at time of application</w:t>
      </w:r>
    </w:p>
    <w:p>
      <w:pPr>
        <w:pStyle w:val="Heading3"/>
        <w:spacing w:after="100" w:before="200"/>
      </w:pPr>
      <w:r>
        <w:rPr>
          <w:b/>
          <w:bCs/>
          <w:color w:val="1F4E78"/>
          <w:sz w:val="24"/>
          <w:szCs w:val="24"/>
        </w:rPr>
        <w:t xml:space="preserve">2.3.2 Government Employees</w:t>
      </w:r>
    </w:p>
    <w:p>
      <w:pPr>
        <w:pStyle w:val="ListParagraph"/>
        <w:numPr>
          <w:ilvl w:val="0"/>
          <w:numId w:val="2"/>
        </w:numPr>
      </w:pPr>
      <w:r>
        <w:rPr>
          <w:sz w:val="22"/>
          <w:szCs w:val="22"/>
        </w:rPr>
        <w:t xml:space="preserve">Minimum tenure with current posting: 1 year</w:t>
      </w:r>
    </w:p>
    <w:p>
      <w:pPr>
        <w:pStyle w:val="ListParagraph"/>
        <w:numPr>
          <w:ilvl w:val="0"/>
          <w:numId w:val="2"/>
        </w:numPr>
      </w:pPr>
      <w:r>
        <w:rPr>
          <w:sz w:val="22"/>
          <w:szCs w:val="22"/>
        </w:rPr>
        <w:t xml:space="preserve">Permanent status or confirmed appointment: Required</w:t>
      </w:r>
    </w:p>
    <w:p>
      <w:pPr>
        <w:pStyle w:val="ListParagraph"/>
        <w:numPr>
          <w:ilvl w:val="0"/>
          <w:numId w:val="2"/>
        </w:numPr>
      </w:pPr>
      <w:r>
        <w:rPr>
          <w:sz w:val="22"/>
          <w:szCs w:val="22"/>
        </w:rPr>
        <w:t xml:space="preserve">Contractual government employees: Eligible if contract is for minimum 3 years</w:t>
      </w:r>
    </w:p>
    <w:p>
      <w:pPr>
        <w:pStyle w:val="Heading3"/>
        <w:spacing w:after="100" w:before="200"/>
      </w:pPr>
      <w:r>
        <w:rPr>
          <w:b/>
          <w:bCs/>
          <w:color w:val="1F4E78"/>
          <w:sz w:val="24"/>
          <w:szCs w:val="24"/>
        </w:rPr>
        <w:t xml:space="preserve">2.3.3 Self-Employed &amp; Business Owners</w:t>
      </w:r>
    </w:p>
    <w:p>
      <w:pPr>
        <w:pStyle w:val="ListParagraph"/>
        <w:numPr>
          <w:ilvl w:val="0"/>
          <w:numId w:val="2"/>
        </w:numPr>
      </w:pPr>
      <w:r>
        <w:rPr>
          <w:sz w:val="22"/>
          <w:szCs w:val="22"/>
        </w:rPr>
        <w:t xml:space="preserve">Minimum business tenure: 3-5 years (7 years for certain categories like consultants)</w:t>
      </w:r>
    </w:p>
    <w:p>
      <w:pPr>
        <w:pStyle w:val="ListParagraph"/>
        <w:numPr>
          <w:ilvl w:val="0"/>
          <w:numId w:val="2"/>
        </w:numPr>
      </w:pPr>
      <w:r>
        <w:rPr>
          <w:sz w:val="22"/>
          <w:szCs w:val="22"/>
        </w:rPr>
        <w:t xml:space="preserve">Business structure: Sole proprietorship, Partnership, LLP, Private Limited Company</w:t>
      </w:r>
    </w:p>
    <w:p>
      <w:pPr>
        <w:pStyle w:val="ListParagraph"/>
        <w:numPr>
          <w:ilvl w:val="0"/>
          <w:numId w:val="2"/>
        </w:numPr>
      </w:pPr>
      <w:r>
        <w:rPr>
          <w:sz w:val="22"/>
          <w:szCs w:val="22"/>
        </w:rPr>
        <w:t xml:space="preserve">Mandatory business registration: GST registration, Udyam registration, or Shop Act license</w:t>
      </w:r>
    </w:p>
    <w:p>
      <w:pPr>
        <w:pStyle w:val="ListParagraph"/>
        <w:numPr>
          <w:ilvl w:val="0"/>
          <w:numId w:val="2"/>
        </w:numPr>
      </w:pPr>
      <w:r>
        <w:rPr>
          <w:sz w:val="22"/>
          <w:szCs w:val="22"/>
        </w:rPr>
        <w:t xml:space="preserve">Audited financials: Mandatory for last 3 years</w:t>
      </w:r>
    </w:p>
    <w:p>
      <w:pPr>
        <w:pStyle w:val="Heading3"/>
        <w:spacing w:after="100" w:before="200"/>
      </w:pPr>
      <w:r>
        <w:rPr>
          <w:b/>
          <w:bCs/>
          <w:color w:val="1F4E78"/>
          <w:sz w:val="24"/>
          <w:szCs w:val="24"/>
        </w:rPr>
        <w:t xml:space="preserve">2.3.4 Professionals (Doctors, Lawyers, CA, Engineers)</w:t>
      </w:r>
    </w:p>
    <w:p>
      <w:pPr>
        <w:pStyle w:val="ListParagraph"/>
        <w:numPr>
          <w:ilvl w:val="0"/>
          <w:numId w:val="2"/>
        </w:numPr>
      </w:pPr>
      <w:r>
        <w:rPr>
          <w:sz w:val="22"/>
          <w:szCs w:val="22"/>
        </w:rPr>
        <w:t xml:space="preserve">Minimum practice tenure: 2 years</w:t>
      </w:r>
    </w:p>
    <w:p>
      <w:pPr>
        <w:pStyle w:val="ListParagraph"/>
        <w:numPr>
          <w:ilvl w:val="0"/>
          <w:numId w:val="2"/>
        </w:numPr>
      </w:pPr>
      <w:r>
        <w:rPr>
          <w:sz w:val="22"/>
          <w:szCs w:val="22"/>
        </w:rPr>
        <w:t xml:space="preserve">Professional registration: Must be registered with respective professional body</w:t>
      </w:r>
    </w:p>
    <w:p>
      <w:pPr>
        <w:pStyle w:val="ListParagraph"/>
        <w:numPr>
          <w:ilvl w:val="0"/>
          <w:numId w:val="2"/>
        </w:numPr>
      </w:pPr>
      <w:r>
        <w:rPr>
          <w:sz w:val="22"/>
          <w:szCs w:val="22"/>
        </w:rPr>
        <w:t xml:space="preserve">Minimum income: As per professional category norms</w:t>
      </w:r>
    </w:p>
    <w:p>
      <w:pPr>
        <w:pStyle w:val="Heading2"/>
        <w:spacing w:after="150" w:before="300"/>
      </w:pPr>
      <w:r>
        <w:rPr>
          <w:b/>
          <w:bCs/>
          <w:color w:val="1F4E78"/>
          <w:sz w:val="28"/>
          <w:szCs w:val="28"/>
        </w:rPr>
        <w:t xml:space="preserve">2.4 Not Eligible</w:t>
      </w:r>
    </w:p>
    <w:p>
      <w:pPr>
        <w:pStyle w:val="ListParagraph"/>
        <w:numPr>
          <w:ilvl w:val="0"/>
          <w:numId w:val="2"/>
        </w:numPr>
      </w:pPr>
      <w:r>
        <w:rPr>
          <w:sz w:val="22"/>
          <w:szCs w:val="22"/>
        </w:rPr>
        <w:t xml:space="preserve">Unemployed individuals without any source of income</w:t>
      </w:r>
    </w:p>
    <w:p>
      <w:pPr>
        <w:pStyle w:val="ListParagraph"/>
        <w:numPr>
          <w:ilvl w:val="0"/>
          <w:numId w:val="2"/>
        </w:numPr>
      </w:pPr>
      <w:r>
        <w:rPr>
          <w:sz w:val="22"/>
          <w:szCs w:val="22"/>
        </w:rPr>
        <w:t xml:space="preserve">Students and full-time scholars</w:t>
      </w:r>
    </w:p>
    <w:p>
      <w:pPr>
        <w:pStyle w:val="ListParagraph"/>
        <w:numPr>
          <w:ilvl w:val="0"/>
          <w:numId w:val="2"/>
        </w:numPr>
      </w:pPr>
      <w:r>
        <w:rPr>
          <w:sz w:val="22"/>
          <w:szCs w:val="22"/>
        </w:rPr>
        <w:t xml:space="preserve">Homemakers without independent income</w:t>
      </w:r>
    </w:p>
    <w:p>
      <w:pPr>
        <w:pStyle w:val="ListParagraph"/>
        <w:numPr>
          <w:ilvl w:val="0"/>
          <w:numId w:val="2"/>
        </w:numPr>
      </w:pPr>
      <w:r>
        <w:rPr>
          <w:sz w:val="22"/>
          <w:szCs w:val="22"/>
        </w:rPr>
        <w:t xml:space="preserve">Individuals with active insolvency proceedings</w:t>
      </w:r>
    </w:p>
    <w:p>
      <w:pPr>
        <w:pStyle w:val="ListParagraph"/>
        <w:numPr>
          <w:ilvl w:val="0"/>
          <w:numId w:val="2"/>
        </w:numPr>
      </w:pPr>
      <w:r>
        <w:rPr>
          <w:sz w:val="22"/>
          <w:szCs w:val="22"/>
        </w:rPr>
        <w:t xml:space="preserve">Wilful defaulters listed with any bank or financial institution</w:t>
      </w:r>
    </w:p>
    <w:p>
      <w:pPr>
        <w:pStyle w:val="ListParagraph"/>
        <w:numPr>
          <w:ilvl w:val="0"/>
          <w:numId w:val="2"/>
        </w:numPr>
      </w:pPr>
      <w:r>
        <w:rPr>
          <w:sz w:val="22"/>
          <w:szCs w:val="22"/>
        </w:rPr>
        <w:t xml:space="preserve">Applicants facing fraud or criminal charges related to financial matters</w:t>
      </w:r>
    </w:p>
    <w:p>
      <w:pPr>
        <w:pStyle w:val="ListParagraph"/>
        <w:numPr>
          <w:ilvl w:val="0"/>
          <w:numId w:val="2"/>
        </w:numPr>
      </w:pPr>
      <w:r>
        <w:rPr>
          <w:sz w:val="22"/>
          <w:szCs w:val="22"/>
        </w:rPr>
        <w:t xml:space="preserve">Persons with serious adverse credit history</w:t>
      </w:r>
    </w:p>
    <w:r>
      <w:br w:type="page"/>
    </w:r>
    <w:p>
      <w:pPr>
        <w:pStyle w:val="Heading1"/>
        <w:spacing w:after="200" w:before="400"/>
      </w:pPr>
      <w:r>
        <w:rPr>
          <w:b/>
          <w:bCs/>
          <w:color w:val="003366"/>
          <w:sz w:val="32"/>
          <w:szCs w:val="32"/>
        </w:rPr>
        <w:t xml:space="preserve">3. CIBIL Score &amp; Credit Requirements</w:t>
      </w:r>
    </w:p>
    <w:p>
      <w:pPr>
        <w:pStyle w:val="Heading2"/>
        <w:spacing w:after="150" w:before="300"/>
      </w:pPr>
      <w:r>
        <w:rPr>
          <w:b/>
          <w:bCs/>
          <w:color w:val="1F4E78"/>
          <w:sz w:val="28"/>
          <w:szCs w:val="28"/>
        </w:rPr>
        <w:t xml:space="preserve">3.1 CIBIL Score Requirements</w:t>
      </w:r>
    </w:p>
    <w:p>
      <w:pPr>
        <w:spacing w:after="120" w:line="360"/>
      </w:pPr>
      <w:r>
        <w:rPr>
          <w:b w:val="false"/>
          <w:bCs w:val="false"/>
          <w:sz w:val="22"/>
          <w:szCs w:val="22"/>
        </w:rPr>
        <w:t xml:space="preserve">CIBIL (Credit Information Bureau India Limited) score is the primary factor in loan approval. The following framework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CIBIL Range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Eligibility</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Approval Type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Interest Markup</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Additional Requirements</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750-900</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Highly Eligible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Instant Approval</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Base Rate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Minimal docs</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700-749</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Very Eligible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24-48 hrs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Base +1%</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Standard docs</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650-699</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Eligible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3-5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Base +2%</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Additional docs</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600-649</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Conditionally Eligible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5-7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Base +3.5%</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Guarantor/Collateral</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&lt;600</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Not Eligible*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Manual Review</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Base +4.5%</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Senior Committee</w:t>
            </w:r>
          </w:p>
        </w:tc>
      </w:tr>
    </w:tbl>
    <w:p>
      <w:pPr>
        <w:spacing w:after="120" w:line="360"/>
      </w:pPr>
      <w:r>
        <w:rPr>
          <w:b w:val="false"/>
          <w:bCs w:val="false"/>
          <w:sz w:val="22"/>
          <w:szCs w:val="22"/>
        </w:rPr>
        <w:t xml:space="preserve">*Scores below 600 may be considered for approval only through senior management review committee with enhanced due diligence and security requirements.</w:t>
      </w:r>
    </w:p>
    <w:p>
      <w:pPr>
        <w:pStyle w:val="Heading2"/>
        <w:spacing w:after="150" w:before="300"/>
      </w:pPr>
      <w:r>
        <w:rPr>
          <w:b/>
          <w:bCs/>
          <w:color w:val="1F4E78"/>
          <w:sz w:val="28"/>
          <w:szCs w:val="28"/>
        </w:rPr>
        <w:t xml:space="preserve">3.2 Credit History Requirements</w:t>
      </w:r>
    </w:p>
    <w:p>
      <w:pPr>
        <w:spacing w:after="120" w:line="360"/>
      </w:pPr>
      <w:r>
        <w:rPr>
          <w:b w:val="false"/>
          <w:bCs w:val="false"/>
          <w:sz w:val="22"/>
          <w:szCs w:val="22"/>
        </w:rPr>
        <w:t xml:space="preserve">All applicants must have a satisfactory credit history as follows:</w:t>
      </w:r>
    </w:p>
    <w:p>
      <w:pPr>
        <w:pStyle w:val="ListParagraph"/>
        <w:numPr>
          <w:ilvl w:val="0"/>
          <w:numId w:val="2"/>
        </w:numPr>
      </w:pPr>
      <w:r>
        <w:rPr>
          <w:sz w:val="22"/>
          <w:szCs w:val="22"/>
        </w:rPr>
        <w:t xml:space="preserve">No defaults or delinquencies in last 24 months (critical requirement)</w:t>
      </w:r>
    </w:p>
    <w:p>
      <w:pPr>
        <w:pStyle w:val="ListParagraph"/>
        <w:numPr>
          <w:ilvl w:val="0"/>
          <w:numId w:val="2"/>
        </w:numPr>
      </w:pPr>
      <w:r>
        <w:rPr>
          <w:sz w:val="22"/>
          <w:szCs w:val="22"/>
        </w:rPr>
        <w:t xml:space="preserve">No loan write-offs or settlements in last 3-7 years</w:t>
      </w:r>
    </w:p>
    <w:p>
      <w:pPr>
        <w:pStyle w:val="ListParagraph"/>
        <w:numPr>
          <w:ilvl w:val="0"/>
          <w:numId w:val="2"/>
        </w:numPr>
      </w:pPr>
      <w:r>
        <w:rPr>
          <w:sz w:val="22"/>
          <w:szCs w:val="22"/>
        </w:rPr>
        <w:t xml:space="preserve">Maximum 4-6 credit inquiries (hard hits) in last 6 months</w:t>
      </w:r>
    </w:p>
    <w:p>
      <w:pPr>
        <w:pStyle w:val="ListParagraph"/>
        <w:numPr>
          <w:ilvl w:val="0"/>
          <w:numId w:val="2"/>
        </w:numPr>
      </w:pPr>
      <w:r>
        <w:rPr>
          <w:sz w:val="22"/>
          <w:szCs w:val="22"/>
        </w:rPr>
        <w:t xml:space="preserve">No accounts overdue by more than 90 days in last 24 months</w:t>
      </w:r>
    </w:p>
    <w:p>
      <w:pPr>
        <w:pStyle w:val="ListParagraph"/>
        <w:numPr>
          <w:ilvl w:val="0"/>
          <w:numId w:val="2"/>
        </w:numPr>
      </w:pPr>
      <w:r>
        <w:rPr>
          <w:sz w:val="22"/>
          <w:szCs w:val="22"/>
        </w:rPr>
        <w:t xml:space="preserve">No suit-filed cases or legal proceedings against applicant</w:t>
      </w:r>
    </w:p>
    <w:p>
      <w:pPr>
        <w:pStyle w:val="Heading2"/>
        <w:spacing w:after="150" w:before="300"/>
      </w:pPr>
      <w:r>
        <w:rPr>
          <w:b/>
          <w:bCs/>
          <w:color w:val="1F4E78"/>
          <w:sz w:val="28"/>
          <w:szCs w:val="28"/>
        </w:rPr>
        <w:t xml:space="preserve">3.3 Negative Criteria (Automatic Rejection)</w:t>
      </w:r>
    </w:p>
    <w:p>
      <w:pPr>
        <w:pStyle w:val="ListParagraph"/>
        <w:numPr>
          <w:ilvl w:val="0"/>
          <w:numId w:val="2"/>
        </w:numPr>
      </w:pPr>
      <w:r>
        <w:rPr>
          <w:sz w:val="22"/>
          <w:szCs w:val="22"/>
        </w:rPr>
        <w:t xml:space="preserve">Bankruptcy or insolvency proceedings</w:t>
      </w:r>
    </w:p>
    <w:p>
      <w:pPr>
        <w:pStyle w:val="ListParagraph"/>
        <w:numPr>
          <w:ilvl w:val="0"/>
          <w:numId w:val="2"/>
        </w:numPr>
      </w:pPr>
      <w:r>
        <w:rPr>
          <w:sz w:val="22"/>
          <w:szCs w:val="22"/>
        </w:rPr>
        <w:t xml:space="preserve">Fraud case registration</w:t>
      </w:r>
    </w:p>
    <w:p>
      <w:pPr>
        <w:pStyle w:val="ListParagraph"/>
        <w:numPr>
          <w:ilvl w:val="0"/>
          <w:numId w:val="2"/>
        </w:numPr>
      </w:pPr>
      <w:r>
        <w:rPr>
          <w:sz w:val="22"/>
          <w:szCs w:val="22"/>
        </w:rPr>
        <w:t xml:space="preserve">Willful defaulter status</w:t>
      </w:r>
    </w:p>
    <w:p>
      <w:pPr>
        <w:pStyle w:val="ListParagraph"/>
        <w:numPr>
          <w:ilvl w:val="0"/>
          <w:numId w:val="2"/>
        </w:numPr>
      </w:pPr>
      <w:r>
        <w:rPr>
          <w:sz w:val="22"/>
          <w:szCs w:val="22"/>
        </w:rPr>
        <w:t xml:space="preserve">Cheque bounce within last 12 months</w:t>
      </w:r>
    </w:p>
    <w:p>
      <w:pPr>
        <w:pStyle w:val="ListParagraph"/>
        <w:numPr>
          <w:ilvl w:val="0"/>
          <w:numId w:val="2"/>
        </w:numPr>
      </w:pPr>
      <w:r>
        <w:rPr>
          <w:sz w:val="22"/>
          <w:szCs w:val="22"/>
        </w:rPr>
        <w:t xml:space="preserve">CIC (Correction/Challenge) flag on credit report</w:t>
      </w:r>
    </w:p>
    <w:r>
      <w:br w:type="page"/>
    </w:r>
    <w:p>
      <w:pPr>
        <w:pStyle w:val="Heading1"/>
        <w:spacing w:after="200" w:before="400"/>
      </w:pPr>
      <w:r>
        <w:rPr>
          <w:b/>
          <w:bCs/>
          <w:color w:val="003366"/>
          <w:sz w:val="32"/>
          <w:szCs w:val="32"/>
        </w:rPr>
        <w:t xml:space="preserve">4. Loan Amount &amp; Tenure</w:t>
      </w:r>
    </w:p>
    <w:p>
      <w:pPr>
        <w:pStyle w:val="Heading2"/>
        <w:spacing w:after="150" w:before="300"/>
      </w:pPr>
      <w:r>
        <w:rPr>
          <w:b/>
          <w:bCs/>
          <w:color w:val="1F4E78"/>
          <w:sz w:val="28"/>
          <w:szCs w:val="28"/>
        </w:rPr>
        <w:t xml:space="preserve">4.1 Minimum &amp; Maximum Loan Amounts</w:t>
      </w:r>
    </w:p>
    <w:p>
      <w:pPr>
        <w:spacing w:after="120" w:line="360"/>
      </w:pPr>
      <w:r>
        <w:rPr>
          <w:b w:val="false"/>
          <w:bCs w:val="false"/>
          <w:sz w:val="22"/>
          <w:szCs w:val="22"/>
        </w:rPr>
        <w:t xml:space="preserve">Loan amounts are determined based on employment type and income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Employment Type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Min Loan</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Max Loan</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Max as Multiple of Income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Notes</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 Private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₹50,000</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₹40 lakhs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 months income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Based on DTI</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Government</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₹50,000</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₹50 lakhs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72 months income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Preferred category</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₹1 lakh</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₹25 lakhs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36 months income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Conservative</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Professional</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₹50,000</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₹30 lakhs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48 months income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Audited income</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NRI/PIO</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₹1 lakh</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₹20 lakhs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48 months income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Additional security</w:t>
            </w:r>
          </w:p>
        </w:tc>
      </w:tr>
    </w:tbl>
    <w:p>
      <w:pPr>
        <w:pStyle w:val="Heading2"/>
        <w:spacing w:after="150" w:before="300"/>
      </w:pPr>
      <w:r>
        <w:rPr>
          <w:b/>
          <w:bCs/>
          <w:color w:val="1F4E78"/>
          <w:sz w:val="28"/>
          <w:szCs w:val="28"/>
        </w:rPr>
        <w:t xml:space="preserve">4.2 Loan Tenure (Duration)</w:t>
      </w:r>
    </w:p>
    <w:p>
      <w:pPr>
        <w:spacing w:after="120" w:line="360"/>
      </w:pPr>
      <w:r>
        <w:rPr>
          <w:b w:val="false"/>
          <w:bCs w:val="false"/>
          <w:sz w:val="22"/>
          <w:szCs w:val="22"/>
        </w:rPr>
        <w:t xml:space="preserve">Loan tenure is flexible within the following parameters:</w:t>
      </w:r>
    </w:p>
    <w:p>
      <w:pPr>
        <w:pStyle w:val="ListParagraph"/>
        <w:numPr>
          <w:ilvl w:val="0"/>
          <w:numId w:val="2"/>
        </w:numPr>
      </w:pPr>
      <w:r>
        <w:rPr>
          <w:sz w:val="22"/>
          <w:szCs w:val="22"/>
        </w:rPr>
        <w:t xml:space="preserve">Minimum tenure: 12 months</w:t>
      </w:r>
    </w:p>
    <w:p>
      <w:pPr>
        <w:pStyle w:val="ListParagraph"/>
        <w:numPr>
          <w:ilvl w:val="0"/>
          <w:numId w:val="2"/>
        </w:numPr>
      </w:pPr>
      <w:r>
        <w:rPr>
          <w:sz w:val="22"/>
          <w:szCs w:val="22"/>
        </w:rPr>
        <w:t xml:space="preserve">Maximum tenure: 60-84 months (5-7 years)</w:t>
      </w:r>
    </w:p>
    <w:p>
      <w:pPr>
        <w:pStyle w:val="ListParagraph"/>
        <w:numPr>
          <w:ilvl w:val="0"/>
          <w:numId w:val="2"/>
        </w:numPr>
      </w:pPr>
      <w:r>
        <w:rPr>
          <w:sz w:val="22"/>
          <w:szCs w:val="22"/>
        </w:rPr>
        <w:t xml:space="preserve">Extended tenure: Up to 84 months available for loans &gt; ₹10 lakhs</w:t>
      </w:r>
    </w:p>
    <w:p>
      <w:pPr>
        <w:pStyle w:val="ListParagraph"/>
        <w:numPr>
          <w:ilvl w:val="0"/>
          <w:numId w:val="2"/>
        </w:numPr>
      </w:pPr>
      <w:r>
        <w:rPr>
          <w:sz w:val="22"/>
          <w:szCs w:val="22"/>
        </w:rPr>
        <w:t xml:space="preserve">Shorter tenure: Can be reduced to 6 months for small amounts &lt; ₹2 lakhs</w:t>
      </w:r>
    </w:p>
    <w:p>
      <w:pPr>
        <w:spacing w:after="120" w:line="360"/>
      </w:pPr>
      <w:r>
        <w:rPr>
          <w:b w:val="false"/>
          <w:bCs w:val="false"/>
          <w:sz w:val="22"/>
          <w:szCs w:val="22"/>
        </w:rPr>
        <w:t xml:space="preserve">The applicant can choose the tenure based on their repayment capacity, subject to loan amount and CIBIL score.</w:t>
      </w:r>
    </w:p>
    <w:p>
      <w:pPr>
        <w:pStyle w:val="Heading2"/>
        <w:spacing w:after="150" w:before="300"/>
      </w:pPr>
      <w:r>
        <w:rPr>
          <w:b/>
          <w:bCs/>
          <w:color w:val="1F4E78"/>
          <w:sz w:val="28"/>
          <w:szCs w:val="28"/>
        </w:rPr>
        <w:t xml:space="preserve">4.3 Debt-to-Income (DTI) Ratio</w:t>
      </w:r>
    </w:p>
    <w:p>
      <w:pPr>
        <w:spacing w:after="120" w:line="360"/>
      </w:pPr>
      <w:r>
        <w:rPr>
          <w:b w:val="false"/>
          <w:bCs w:val="false"/>
          <w:sz w:val="22"/>
          <w:szCs w:val="22"/>
        </w:rPr>
        <w:t xml:space="preserve">The applicant's monthly EMI (including this loan) shall not exceed the following percentage of monthly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Employment Category</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Maximum DTI</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Co-applicant DTI</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 Employees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50%</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50% (Combined)</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Government Employees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60%</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60% (Combined)</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40%</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40% (Combined)</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Professionals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45%</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45% (Combined)</w:t>
            </w:r>
          </w:p>
        </w:tc>
      </w:tr>
    </w:tbl>
    <w:p>
      <w:pPr>
        <w:spacing w:after="120" w:line="360"/>
      </w:pPr>
      <w:r>
        <w:rPr>
          <w:b w:val="false"/>
          <w:bCs w:val="false"/>
          <w:sz w:val="22"/>
          <w:szCs w:val="22"/>
        </w:rPr>
        <w:t xml:space="preserve">Example: A salaried employee earning ₹50,000/month can have total monthly debt obligations (including this loan) of maximum ₹25,000.</w:t>
      </w:r>
    </w:p>
    <w:r>
      <w:br w:type="page"/>
    </w:r>
    <w:p>
      <w:pPr>
        <w:pStyle w:val="Heading1"/>
        <w:spacing w:after="200" w:before="400"/>
      </w:pPr>
      <w:r>
        <w:rPr>
          <w:b/>
          <w:bCs/>
          <w:color w:val="003366"/>
          <w:sz w:val="32"/>
          <w:szCs w:val="32"/>
        </w:rPr>
        <w:t xml:space="preserve">5. Interest Rates &amp; Pricing</w:t>
      </w:r>
    </w:p>
    <w:p>
      <w:pPr>
        <w:pStyle w:val="Heading2"/>
        <w:spacing w:after="150" w:before="300"/>
      </w:pPr>
      <w:r>
        <w:rPr>
          <w:b/>
          <w:bCs/>
          <w:color w:val="1F4E78"/>
          <w:sz w:val="28"/>
          <w:szCs w:val="28"/>
        </w:rPr>
        <w:t xml:space="preserve">5.1 Base Rate Framework</w:t>
      </w:r>
    </w:p>
    <w:p>
      <w:pPr>
        <w:spacing w:after="120" w:line="360"/>
      </w:pPr>
      <w:r>
        <w:rPr>
          <w:b w:val="false"/>
          <w:bCs w:val="false"/>
          <w:sz w:val="22"/>
          <w:szCs w:val="22"/>
        </w:rPr>
        <w:t xml:space="preserve">All Personal Loan interest rates are built on a Base Rate structure:</w:t>
      </w:r>
    </w:p>
    <w:p>
      <w:pPr>
        <w:spacing w:after="120" w:line="360"/>
      </w:pPr>
      <w:r>
        <w:rPr>
          <w:b w:val="false"/>
          <w:bCs w:val="false"/>
          <w:sz w:val="22"/>
          <w:szCs w:val="22"/>
        </w:rPr>
        <w:t xml:space="preserve">Current Base Rate: 8.50% per annum (Effective from April 1, 2024)</w:t>
      </w:r>
    </w:p>
    <w:p>
      <w:pPr>
        <w:spacing w:after="120" w:line="360"/>
      </w:pPr>
      <w:r>
        <w:rPr>
          <w:b w:val="false"/>
          <w:bCs w:val="false"/>
          <w:sz w:val="22"/>
          <w:szCs w:val="22"/>
        </w:rPr>
        <w:t xml:space="preserve">The Base Rate is reviewed quarterly by the bank's Asset Liability Management (ALM) Committee and notified to customers.</w:t>
      </w:r>
    </w:p>
    <w:p>
      <w:pPr>
        <w:pStyle w:val="Heading2"/>
        <w:spacing w:after="150" w:before="300"/>
      </w:pPr>
      <w:r>
        <w:rPr>
          <w:b/>
          <w:bCs/>
          <w:color w:val="1F4E78"/>
          <w:sz w:val="28"/>
          <w:szCs w:val="28"/>
        </w:rPr>
        <w:t xml:space="preserve">5.2 Interest Rate Components</w:t>
      </w:r>
    </w:p>
    <w:p>
      <w:pPr>
        <w:spacing w:after="120" w:line="360"/>
      </w:pPr>
      <w:r>
        <w:rPr>
          <w:b w:val="false"/>
          <w:bCs w:val="false"/>
          <w:sz w:val="22"/>
          <w:szCs w:val="22"/>
        </w:rPr>
        <w:t xml:space="preserve">The final interest rate is calculated as: Base Rate + Risk Markup + Product Markup + Employment Markup</w:t>
      </w:r>
    </w:p>
    <w:p>
      <w:pPr>
        <w:pStyle w:val="Heading3"/>
        <w:spacing w:after="100" w:before="200"/>
      </w:pPr>
      <w:r>
        <w:rPr>
          <w:b/>
          <w:bCs/>
          <w:color w:val="1F4E78"/>
          <w:sz w:val="24"/>
          <w:szCs w:val="24"/>
        </w:rPr>
        <w:t xml:space="preserve">5.2.1 CIBIL Score-Based Markup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CIBIL Score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Markup</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Example Rate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Category</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750+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+0.00%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8.50%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Excellent</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700-749</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9.50%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Very Good</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650-699</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+2.00%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10.50%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Good</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600-649</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+3.50%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12.00%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Fair</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&lt;600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+4.50%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13.00%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Poor</w:t>
            </w:r>
          </w:p>
        </w:tc>
      </w:tr>
    </w:tbl>
    <w:p>
      <w:pPr>
        <w:pStyle w:val="Heading3"/>
        <w:spacing w:after="100" w:before="200"/>
      </w:pPr>
      <w:r>
        <w:rPr>
          <w:b/>
          <w:bCs/>
          <w:color w:val="1F4E78"/>
          <w:sz w:val="24"/>
          <w:szCs w:val="24"/>
        </w:rPr>
        <w:t xml:space="preserve">5.2.2 Employment Type Markup</w:t>
      </w:r>
    </w:p>
    <w:p>
      <w:pPr>
        <w:pStyle w:val="ListParagraph"/>
        <w:numPr>
          <w:ilvl w:val="0"/>
          <w:numId w:val="2"/>
        </w:numPr>
      </w:pPr>
      <w:r>
        <w:rPr>
          <w:sz w:val="22"/>
          <w:szCs w:val="22"/>
        </w:rPr>
        <w:t xml:space="preserve">Salaried Employees: 0.00% (Preferred)</w:t>
      </w:r>
    </w:p>
    <w:p>
      <w:pPr>
        <w:pStyle w:val="ListParagraph"/>
        <w:numPr>
          <w:ilvl w:val="0"/>
          <w:numId w:val="2"/>
        </w:numPr>
      </w:pPr>
      <w:r>
        <w:rPr>
          <w:sz w:val="22"/>
          <w:szCs w:val="22"/>
        </w:rPr>
        <w:t xml:space="preserve">Government Employees: -0.25% (Preferred, lower risk)</w:t>
      </w:r>
    </w:p>
    <w:p>
      <w:pPr>
        <w:pStyle w:val="ListParagraph"/>
        <w:numPr>
          <w:ilvl w:val="0"/>
          <w:numId w:val="2"/>
        </w:numPr>
      </w:pPr>
      <w:r>
        <w:rPr>
          <w:sz w:val="22"/>
          <w:szCs w:val="22"/>
        </w:rPr>
        <w:t xml:space="preserve">Self-Employed/Business Owners: +0.50% (Higher risk)</w:t>
      </w:r>
    </w:p>
    <w:p>
      <w:pPr>
        <w:pStyle w:val="ListParagraph"/>
        <w:numPr>
          <w:ilvl w:val="0"/>
          <w:numId w:val="2"/>
        </w:numPr>
      </w:pPr>
      <w:r>
        <w:rPr>
          <w:sz w:val="22"/>
          <w:szCs w:val="22"/>
        </w:rPr>
        <w:t xml:space="preserve">Professionals: +0.25%</w:t>
      </w:r>
    </w:p>
    <w:p>
      <w:pPr>
        <w:pStyle w:val="ListParagraph"/>
        <w:numPr>
          <w:ilvl w:val="0"/>
          <w:numId w:val="2"/>
        </w:numPr>
      </w:pPr>
      <w:r>
        <w:rPr>
          <w:sz w:val="22"/>
          <w:szCs w:val="22"/>
        </w:rPr>
        <w:t xml:space="preserve">NRI/PIO: +0.75% (Additional documentation and monitoring)</w:t>
      </w:r>
    </w:p>
    <w:p>
      <w:pPr>
        <w:pStyle w:val="Heading3"/>
        <w:spacing w:after="100" w:before="200"/>
      </w:pPr>
      <w:r>
        <w:rPr>
          <w:b/>
          <w:bCs/>
          <w:color w:val="1F4E78"/>
          <w:sz w:val="24"/>
          <w:szCs w:val="24"/>
        </w:rPr>
        <w:t xml:space="preserve">5.2.3 Loan Amount Markup</w:t>
      </w:r>
    </w:p>
    <w:p>
      <w:pPr>
        <w:pStyle w:val="ListParagraph"/>
        <w:numPr>
          <w:ilvl w:val="0"/>
          <w:numId w:val="2"/>
        </w:numPr>
      </w:pPr>
      <w:r>
        <w:rPr>
          <w:sz w:val="22"/>
          <w:szCs w:val="22"/>
        </w:rPr>
        <w:t xml:space="preserve">Loan &lt; ₹5 lakhs: +0.50%</w:t>
      </w:r>
    </w:p>
    <w:p>
      <w:pPr>
        <w:pStyle w:val="ListParagraph"/>
        <w:numPr>
          <w:ilvl w:val="0"/>
          <w:numId w:val="2"/>
        </w:numPr>
      </w:pPr>
      <w:r>
        <w:rPr>
          <w:sz w:val="22"/>
          <w:szCs w:val="22"/>
        </w:rPr>
        <w:t xml:space="preserve">Loan ₹5-10 lakhs: 0.00% (Standard)</w:t>
      </w:r>
    </w:p>
    <w:p>
      <w:pPr>
        <w:pStyle w:val="ListParagraph"/>
        <w:numPr>
          <w:ilvl w:val="0"/>
          <w:numId w:val="2"/>
        </w:numPr>
      </w:pPr>
      <w:r>
        <w:rPr>
          <w:sz w:val="22"/>
          <w:szCs w:val="22"/>
        </w:rPr>
        <w:t xml:space="preserve">Loan &gt; ₹10 lakhs: -0.25% (Competitive pricing)</w:t>
      </w:r>
    </w:p>
    <w:p>
      <w:pPr>
        <w:pStyle w:val="Heading2"/>
        <w:spacing w:after="150" w:before="300"/>
      </w:pPr>
      <w:r>
        <w:rPr>
          <w:b/>
          <w:bCs/>
          <w:color w:val="1F4E78"/>
          <w:sz w:val="28"/>
          <w:szCs w:val="28"/>
        </w:rPr>
        <w:t xml:space="preserve">5.3 Fixed vs. Floating Rates</w:t>
      </w:r>
    </w:p>
    <w:p>
      <w:pPr>
        <w:spacing w:after="120" w:line="360"/>
      </w:pPr>
      <w:r>
        <w:rPr>
          <w:b w:val="false"/>
          <w:bCs w:val="false"/>
          <w:sz w:val="22"/>
          <w:szCs w:val="22"/>
        </w:rPr>
        <w:t xml:space="preserve">The bank offers both fixed and floating rate options:</w:t>
      </w:r>
    </w:p>
    <w:p>
      <w:pPr>
        <w:pStyle w:val="Heading3"/>
        <w:spacing w:after="100" w:before="200"/>
      </w:pPr>
      <w:r>
        <w:rPr>
          <w:b/>
          <w:bCs/>
          <w:color w:val="1F4E78"/>
          <w:sz w:val="24"/>
          <w:szCs w:val="24"/>
        </w:rPr>
        <w:t xml:space="preserve">5.3.1 Fixed Rate</w:t>
      </w:r>
    </w:p>
    <w:p>
      <w:pPr>
        <w:pStyle w:val="ListParagraph"/>
        <w:numPr>
          <w:ilvl w:val="0"/>
          <w:numId w:val="2"/>
        </w:numPr>
      </w:pPr>
      <w:r>
        <w:rPr>
          <w:sz w:val="22"/>
          <w:szCs w:val="22"/>
        </w:rPr>
        <w:t xml:space="preserve">Rate locked for entire loan tenure</w:t>
      </w:r>
    </w:p>
    <w:p>
      <w:pPr>
        <w:pStyle w:val="ListParagraph"/>
        <w:numPr>
          <w:ilvl w:val="0"/>
          <w:numId w:val="2"/>
        </w:numPr>
      </w:pPr>
      <w:r>
        <w:rPr>
          <w:sz w:val="22"/>
          <w:szCs w:val="22"/>
        </w:rPr>
        <w:t xml:space="preserve">EMI remains constant throughout the period</w:t>
      </w:r>
    </w:p>
    <w:p>
      <w:pPr>
        <w:pStyle w:val="ListParagraph"/>
        <w:numPr>
          <w:ilvl w:val="0"/>
          <w:numId w:val="2"/>
        </w:numPr>
      </w:pPr>
      <w:r>
        <w:rPr>
          <w:sz w:val="22"/>
          <w:szCs w:val="22"/>
        </w:rPr>
        <w:t xml:space="preserve">Premium over base rate: +0.50% compared to floating</w:t>
      </w:r>
    </w:p>
    <w:p>
      <w:pPr>
        <w:pStyle w:val="ListParagraph"/>
        <w:numPr>
          <w:ilvl w:val="0"/>
          <w:numId w:val="2"/>
        </w:numPr>
      </w:pPr>
      <w:r>
        <w:rPr>
          <w:sz w:val="22"/>
          <w:szCs w:val="22"/>
        </w:rPr>
        <w:t xml:space="preserve">Preferred by borrowers wanting certainty</w:t>
      </w:r>
    </w:p>
    <w:p>
      <w:pPr>
        <w:pStyle w:val="Heading3"/>
        <w:spacing w:after="100" w:before="200"/>
      </w:pPr>
      <w:r>
        <w:rPr>
          <w:b/>
          <w:bCs/>
          <w:color w:val="1F4E78"/>
          <w:sz w:val="24"/>
          <w:szCs w:val="24"/>
        </w:rPr>
        <w:t xml:space="preserve">5.3.2 Floating Rate</w:t>
      </w:r>
    </w:p>
    <w:p>
      <w:pPr>
        <w:pStyle w:val="ListParagraph"/>
        <w:numPr>
          <w:ilvl w:val="0"/>
          <w:numId w:val="2"/>
        </w:numPr>
      </w:pPr>
      <w:r>
        <w:rPr>
          <w:sz w:val="22"/>
          <w:szCs w:val="22"/>
        </w:rPr>
        <w:t xml:space="preserve">Rate linked to bank's Base Rate</w:t>
      </w:r>
    </w:p>
    <w:p>
      <w:pPr>
        <w:pStyle w:val="ListParagraph"/>
        <w:numPr>
          <w:ilvl w:val="0"/>
          <w:numId w:val="2"/>
        </w:numPr>
      </w:pPr>
      <w:r>
        <w:rPr>
          <w:sz w:val="22"/>
          <w:szCs w:val="22"/>
        </w:rPr>
        <w:t xml:space="preserve">Changes quarterly with RBI policy rate changes</w:t>
      </w:r>
    </w:p>
    <w:p>
      <w:pPr>
        <w:pStyle w:val="ListParagraph"/>
        <w:numPr>
          <w:ilvl w:val="0"/>
          <w:numId w:val="2"/>
        </w:numPr>
      </w:pPr>
      <w:r>
        <w:rPr>
          <w:sz w:val="22"/>
          <w:szCs w:val="22"/>
        </w:rPr>
        <w:t xml:space="preserve">EMI adjusted accordingly (reset every 3 months)</w:t>
      </w:r>
    </w:p>
    <w:p>
      <w:pPr>
        <w:pStyle w:val="ListParagraph"/>
        <w:numPr>
          <w:ilvl w:val="0"/>
          <w:numId w:val="2"/>
        </w:numPr>
      </w:pPr>
      <w:r>
        <w:rPr>
          <w:sz w:val="22"/>
          <w:szCs w:val="22"/>
        </w:rPr>
        <w:t xml:space="preserve">Lower initial rate, subject to market volatility</w:t>
      </w:r>
    </w:p>
    <w:p>
      <w:pPr>
        <w:pStyle w:val="Heading2"/>
        <w:spacing w:after="150" w:before="300"/>
      </w:pPr>
      <w:r>
        <w:rPr>
          <w:b/>
          <w:bCs/>
          <w:color w:val="1F4E78"/>
          <w:sz w:val="28"/>
          <w:szCs w:val="28"/>
        </w:rPr>
        <w:t xml:space="preserve">5.4 Pricing Example</w:t>
      </w:r>
    </w:p>
    <w:p>
      <w:pPr>
        <w:spacing w:after="120" w:line="360"/>
      </w:pPr>
      <w:r>
        <w:rPr>
          <w:b w:val="false"/>
          <w:bCs w:val="false"/>
          <w:sz w:val="22"/>
          <w:szCs w:val="22"/>
        </w:rPr>
        <w:t xml:space="preserve">Self-employed applicant, CIBIL 680, loan amount ₹8 lakhs:</w:t>
      </w:r>
    </w:p>
    <w:p>
      <w:pPr>
        <w:spacing w:after="120" w:line="360"/>
      </w:pPr>
      <w:r>
        <w:rPr>
          <w:b w:val="false"/>
          <w:bCs w:val="false"/>
          <w:sz w:val="22"/>
          <w:szCs w:val="22"/>
        </w:rPr>
        <w:t xml:space="preserve">Base Rate: 8.50%</w:t>
      </w:r>
    </w:p>
    <w:p>
      <w:pPr>
        <w:spacing w:after="120" w:line="360"/>
      </w:pPr>
      <w:r>
        <w:rPr>
          <w:b w:val="false"/>
          <w:bCs w:val="false"/>
          <w:sz w:val="22"/>
          <w:szCs w:val="22"/>
        </w:rPr>
        <w:t xml:space="preserve">+ CIBIL Markup (680): 2.00%</w:t>
      </w:r>
    </w:p>
    <w:p>
      <w:pPr>
        <w:spacing w:after="120" w:line="360"/>
      </w:pPr>
      <w:r>
        <w:rPr>
          <w:b w:val="false"/>
          <w:bCs w:val="false"/>
          <w:sz w:val="22"/>
          <w:szCs w:val="22"/>
        </w:rPr>
        <w:t xml:space="preserve">+ Employment Markup (Self-Employed): 0.50%</w:t>
      </w:r>
    </w:p>
    <w:p>
      <w:pPr>
        <w:spacing w:after="120" w:line="360"/>
      </w:pPr>
      <w:r>
        <w:rPr>
          <w:b w:val="false"/>
          <w:bCs w:val="false"/>
          <w:sz w:val="22"/>
          <w:szCs w:val="22"/>
        </w:rPr>
        <w:t xml:space="preserve">+ Loan Amount Markup (5-10L): 0.00%</w:t>
      </w:r>
    </w:p>
    <w:p>
      <w:pPr>
        <w:spacing w:after="120" w:line="360"/>
      </w:pPr>
      <w:r>
        <w:rPr>
          <w:b w:val="false"/>
          <w:bCs w:val="false"/>
          <w:sz w:val="22"/>
          <w:szCs w:val="22"/>
        </w:rPr>
        <w:t xml:space="preserve">= Total Rate: 11.00% per annum</w:t>
      </w:r>
    </w:p>
    <w:r>
      <w:br w:type="page"/>
    </w:r>
    <w:p>
      <w:pPr>
        <w:pStyle w:val="Heading1"/>
        <w:spacing w:after="200" w:before="400"/>
      </w:pPr>
      <w:r>
        <w:rPr>
          <w:b/>
          <w:bCs/>
          <w:color w:val="003366"/>
          <w:sz w:val="32"/>
          <w:szCs w:val="32"/>
        </w:rPr>
        <w:t xml:space="preserve">6. Documentation Requirements</w:t>
      </w:r>
    </w:p>
    <w:p>
      <w:pPr>
        <w:pStyle w:val="Heading2"/>
        <w:spacing w:after="150" w:before="300"/>
      </w:pPr>
      <w:r>
        <w:rPr>
          <w:b/>
          <w:bCs/>
          <w:color w:val="1F4E78"/>
          <w:sz w:val="28"/>
          <w:szCs w:val="28"/>
        </w:rPr>
        <w:t xml:space="preserve">6.1 Identity &amp; Address Proof (All Applicants)</w:t>
      </w:r>
    </w:p>
    <w:p>
      <w:pPr>
        <w:pStyle w:val="Heading3"/>
        <w:spacing w:after="100" w:before="200"/>
      </w:pPr>
      <w:r>
        <w:rPr>
          <w:b/>
          <w:bCs/>
          <w:color w:val="1F4E78"/>
          <w:sz w:val="24"/>
          <w:szCs w:val="24"/>
        </w:rPr>
        <w:t xml:space="preserve">Acceptable Identity Proofs:</w:t>
      </w:r>
    </w:p>
    <w:p>
      <w:pPr>
        <w:pStyle w:val="ListParagraph"/>
        <w:numPr>
          <w:ilvl w:val="0"/>
          <w:numId w:val="2"/>
        </w:numPr>
      </w:pPr>
      <w:r>
        <w:rPr>
          <w:sz w:val="22"/>
          <w:szCs w:val="22"/>
        </w:rPr>
        <w:t xml:space="preserve">Aadhaar Card (UIDAI)</w:t>
      </w:r>
    </w:p>
    <w:p>
      <w:pPr>
        <w:pStyle w:val="ListParagraph"/>
        <w:numPr>
          <w:ilvl w:val="0"/>
          <w:numId w:val="2"/>
        </w:numPr>
      </w:pPr>
      <w:r>
        <w:rPr>
          <w:sz w:val="22"/>
          <w:szCs w:val="22"/>
        </w:rPr>
        <w:t xml:space="preserve">Passport</w:t>
      </w:r>
    </w:p>
    <w:p>
      <w:pPr>
        <w:pStyle w:val="ListParagraph"/>
        <w:numPr>
          <w:ilvl w:val="0"/>
          <w:numId w:val="2"/>
        </w:numPr>
      </w:pPr>
      <w:r>
        <w:rPr>
          <w:sz w:val="22"/>
          <w:szCs w:val="22"/>
        </w:rPr>
        <w:t xml:space="preserve">PAN Card (Permanent Account Number)</w:t>
      </w:r>
    </w:p>
    <w:p>
      <w:pPr>
        <w:pStyle w:val="ListParagraph"/>
        <w:numPr>
          <w:ilvl w:val="0"/>
          <w:numId w:val="2"/>
        </w:numPr>
      </w:pPr>
      <w:r>
        <w:rPr>
          <w:sz w:val="22"/>
          <w:szCs w:val="22"/>
        </w:rPr>
        <w:t xml:space="preserve">Voter ID</w:t>
      </w:r>
    </w:p>
    <w:p>
      <w:pPr>
        <w:pStyle w:val="ListParagraph"/>
        <w:numPr>
          <w:ilvl w:val="0"/>
          <w:numId w:val="2"/>
        </w:numPr>
      </w:pPr>
      <w:r>
        <w:rPr>
          <w:sz w:val="22"/>
          <w:szCs w:val="22"/>
        </w:rPr>
        <w:t xml:space="preserve">Driving License</w:t>
      </w:r>
    </w:p>
    <w:p>
      <w:pPr>
        <w:pStyle w:val="Heading3"/>
        <w:spacing w:after="100" w:before="200"/>
      </w:pPr>
      <w:r>
        <w:rPr>
          <w:b/>
          <w:bCs/>
          <w:color w:val="1F4E78"/>
          <w:sz w:val="24"/>
          <w:szCs w:val="24"/>
        </w:rPr>
        <w:t xml:space="preserve">Acceptable Address Proofs:</w:t>
      </w:r>
    </w:p>
    <w:p>
      <w:pPr>
        <w:pStyle w:val="ListParagraph"/>
        <w:numPr>
          <w:ilvl w:val="0"/>
          <w:numId w:val="2"/>
        </w:numPr>
      </w:pPr>
      <w:r>
        <w:rPr>
          <w:sz w:val="22"/>
          <w:szCs w:val="22"/>
        </w:rPr>
        <w:t xml:space="preserve">Utility bills (Electricity, Water, Gas) - last 3 months</w:t>
      </w:r>
    </w:p>
    <w:p>
      <w:pPr>
        <w:pStyle w:val="ListParagraph"/>
        <w:numPr>
          <w:ilvl w:val="0"/>
          <w:numId w:val="2"/>
        </w:numPr>
      </w:pPr>
      <w:r>
        <w:rPr>
          <w:sz w:val="22"/>
          <w:szCs w:val="22"/>
        </w:rPr>
        <w:t xml:space="preserve">Rent agreement + landlord affidavit</w:t>
      </w:r>
    </w:p>
    <w:p>
      <w:pPr>
        <w:pStyle w:val="ListParagraph"/>
        <w:numPr>
          <w:ilvl w:val="0"/>
          <w:numId w:val="2"/>
        </w:numPr>
      </w:pPr>
      <w:r>
        <w:rPr>
          <w:sz w:val="22"/>
          <w:szCs w:val="22"/>
        </w:rPr>
        <w:t xml:space="preserve">Property tax receipt</w:t>
      </w:r>
    </w:p>
    <w:p>
      <w:pPr>
        <w:pStyle w:val="ListParagraph"/>
        <w:numPr>
          <w:ilvl w:val="0"/>
          <w:numId w:val="2"/>
        </w:numPr>
      </w:pPr>
      <w:r>
        <w:rPr>
          <w:sz w:val="22"/>
          <w:szCs w:val="22"/>
        </w:rPr>
        <w:t xml:space="preserve">Landline or postpaid mobile bill</w:t>
      </w:r>
    </w:p>
    <w:p>
      <w:pPr>
        <w:pStyle w:val="ListParagraph"/>
        <w:numPr>
          <w:ilvl w:val="0"/>
          <w:numId w:val="2"/>
        </w:numPr>
      </w:pPr>
      <w:r>
        <w:rPr>
          <w:sz w:val="22"/>
          <w:szCs w:val="22"/>
        </w:rPr>
        <w:t xml:space="preserve">Bank statement (recent 3 months)</w:t>
      </w:r>
    </w:p>
    <w:p>
      <w:pPr>
        <w:pStyle w:val="Heading2"/>
        <w:spacing w:after="150" w:before="300"/>
      </w:pPr>
      <w:r>
        <w:rPr>
          <w:b/>
          <w:bCs/>
          <w:color w:val="1F4E78"/>
          <w:sz w:val="28"/>
          <w:szCs w:val="28"/>
        </w:rPr>
        <w:t xml:space="preserve">6.2 Salaried Employees (Private Sector)</w:t>
      </w:r>
    </w:p>
    <w:p>
      <w:pPr>
        <w:spacing w:after="120" w:line="360"/>
      </w:pPr>
      <w:r>
        <w:rPr>
          <w:b w:val="false"/>
          <w:bCs w:val="false"/>
          <w:sz w:val="22"/>
          <w:szCs w:val="22"/>
        </w:rPr>
        <w:t xml:space="preserve">Income Documents:</w:t>
      </w:r>
    </w:p>
    <w:p>
      <w:pPr>
        <w:pStyle w:val="ListParagraph"/>
        <w:numPr>
          <w:ilvl w:val="0"/>
          <w:numId w:val="2"/>
        </w:numPr>
      </w:pPr>
      <w:r>
        <w:rPr>
          <w:sz w:val="22"/>
          <w:szCs w:val="22"/>
        </w:rPr>
        <w:t xml:space="preserve">Salary slips: Last 3 months (must show consistency)</w:t>
      </w:r>
    </w:p>
    <w:p>
      <w:pPr>
        <w:pStyle w:val="ListParagraph"/>
        <w:numPr>
          <w:ilvl w:val="0"/>
          <w:numId w:val="2"/>
        </w:numPr>
      </w:pPr>
      <w:r>
        <w:rPr>
          <w:sz w:val="22"/>
          <w:szCs w:val="22"/>
        </w:rPr>
        <w:t xml:space="preserve">Form 16: Last 2 financial years</w:t>
      </w:r>
    </w:p>
    <w:p>
      <w:pPr>
        <w:pStyle w:val="ListParagraph"/>
        <w:numPr>
          <w:ilvl w:val="0"/>
          <w:numId w:val="2"/>
        </w:numPr>
      </w:pPr>
      <w:r>
        <w:rPr>
          <w:sz w:val="22"/>
          <w:szCs w:val="22"/>
        </w:rPr>
        <w:t xml:space="preserve">Bank statements: Last 6 months (to verify salary deposits)</w:t>
      </w:r>
    </w:p>
    <w:p>
      <w:pPr>
        <w:spacing w:after="120" w:line="360"/>
      </w:pPr>
      <w:r>
        <w:rPr>
          <w:b w:val="false"/>
          <w:bCs w:val="false"/>
          <w:sz w:val="22"/>
          <w:szCs w:val="22"/>
        </w:rPr>
        <w:t xml:space="preserve">Employment Verification:</w:t>
      </w:r>
    </w:p>
    <w:p>
      <w:pPr>
        <w:pStyle w:val="ListParagraph"/>
        <w:numPr>
          <w:ilvl w:val="0"/>
          <w:numId w:val="2"/>
        </w:numPr>
      </w:pPr>
      <w:r>
        <w:rPr>
          <w:sz w:val="22"/>
          <w:szCs w:val="22"/>
        </w:rPr>
        <w:t xml:space="preserve">Offer letter or Appointment letter (if recent)</w:t>
      </w:r>
    </w:p>
    <w:p>
      <w:pPr>
        <w:pStyle w:val="ListParagraph"/>
        <w:numPr>
          <w:ilvl w:val="0"/>
          <w:numId w:val="2"/>
        </w:numPr>
      </w:pPr>
      <w:r>
        <w:rPr>
          <w:sz w:val="22"/>
          <w:szCs w:val="22"/>
        </w:rPr>
        <w:t xml:space="preserve">Employment verification letter from HR (on company letterhead)</w:t>
      </w:r>
    </w:p>
    <w:p>
      <w:pPr>
        <w:pStyle w:val="ListParagraph"/>
        <w:numPr>
          <w:ilvl w:val="0"/>
          <w:numId w:val="2"/>
        </w:numPr>
      </w:pPr>
      <w:r>
        <w:rPr>
          <w:sz w:val="22"/>
          <w:szCs w:val="22"/>
        </w:rPr>
        <w:t xml:space="preserve">Company registration certificate or TAN certificate</w:t>
      </w:r>
    </w:p>
    <w:p>
      <w:pPr>
        <w:spacing w:after="120" w:line="360"/>
      </w:pPr>
      <w:r>
        <w:rPr>
          <w:b w:val="false"/>
          <w:bCs w:val="false"/>
          <w:sz w:val="22"/>
          <w:szCs w:val="22"/>
        </w:rPr>
        <w:t xml:space="preserve">Additional (if applicable):</w:t>
      </w:r>
    </w:p>
    <w:p>
      <w:pPr>
        <w:pStyle w:val="ListParagraph"/>
        <w:numPr>
          <w:ilvl w:val="0"/>
          <w:numId w:val="2"/>
        </w:numPr>
      </w:pPr>
      <w:r>
        <w:rPr>
          <w:sz w:val="22"/>
          <w:szCs w:val="22"/>
        </w:rPr>
        <w:t xml:space="preserve">Relieving letter (if job change in last 2 years)</w:t>
      </w:r>
    </w:p>
    <w:p>
      <w:pPr>
        <w:pStyle w:val="ListParagraph"/>
        <w:numPr>
          <w:ilvl w:val="0"/>
          <w:numId w:val="2"/>
        </w:numPr>
      </w:pPr>
      <w:r>
        <w:rPr>
          <w:sz w:val="22"/>
          <w:szCs w:val="22"/>
        </w:rPr>
        <w:t xml:space="preserve">Promotion letters (for salary increase justification)</w:t>
      </w:r>
    </w:p>
    <w:p>
      <w:pPr>
        <w:pStyle w:val="ListParagraph"/>
        <w:numPr>
          <w:ilvl w:val="0"/>
          <w:numId w:val="2"/>
        </w:numPr>
      </w:pPr>
      <w:r>
        <w:rPr>
          <w:sz w:val="22"/>
          <w:szCs w:val="22"/>
        </w:rPr>
        <w:t xml:space="preserve">Leave balance certificate (if requesting loan with accrued leave)</w:t>
      </w:r>
    </w:p>
    <w:p>
      <w:pPr>
        <w:pStyle w:val="Heading2"/>
        <w:spacing w:after="150" w:before="300"/>
      </w:pPr>
      <w:r>
        <w:rPr>
          <w:b/>
          <w:bCs/>
          <w:color w:val="1F4E78"/>
          <w:sz w:val="28"/>
          <w:szCs w:val="28"/>
        </w:rPr>
        <w:t xml:space="preserve">6.3 Government Employees</w:t>
      </w:r>
    </w:p>
    <w:p>
      <w:pPr>
        <w:spacing w:after="120" w:line="360"/>
      </w:pPr>
      <w:r>
        <w:rPr>
          <w:b w:val="false"/>
          <w:bCs w:val="false"/>
          <w:sz w:val="22"/>
          <w:szCs w:val="22"/>
        </w:rPr>
        <w:t xml:space="preserve">Income Documents:</w:t>
      </w:r>
    </w:p>
    <w:p>
      <w:pPr>
        <w:pStyle w:val="ListParagraph"/>
        <w:numPr>
          <w:ilvl w:val="0"/>
          <w:numId w:val="2"/>
        </w:numPr>
      </w:pPr>
      <w:r>
        <w:rPr>
          <w:sz w:val="22"/>
          <w:szCs w:val="22"/>
        </w:rPr>
        <w:t xml:space="preserve">Salary slip: Last 2 months</w:t>
      </w:r>
    </w:p>
    <w:p>
      <w:pPr>
        <w:pStyle w:val="ListParagraph"/>
        <w:numPr>
          <w:ilvl w:val="0"/>
          <w:numId w:val="2"/>
        </w:numPr>
      </w:pPr>
      <w:r>
        <w:rPr>
          <w:sz w:val="22"/>
          <w:szCs w:val="22"/>
        </w:rPr>
        <w:t xml:space="preserve">Form 16: Last 2 years</w:t>
      </w:r>
    </w:p>
    <w:p>
      <w:pPr>
        <w:spacing w:after="120" w:line="360"/>
      </w:pPr>
      <w:r>
        <w:rPr>
          <w:b w:val="false"/>
          <w:bCs w:val="false"/>
          <w:sz w:val="22"/>
          <w:szCs w:val="22"/>
        </w:rPr>
        <w:t xml:space="preserve">Employment Verification:</w:t>
      </w:r>
    </w:p>
    <w:p>
      <w:pPr>
        <w:pStyle w:val="ListParagraph"/>
        <w:numPr>
          <w:ilvl w:val="0"/>
          <w:numId w:val="2"/>
        </w:numPr>
      </w:pPr>
      <w:r>
        <w:rPr>
          <w:sz w:val="22"/>
          <w:szCs w:val="22"/>
        </w:rPr>
        <w:t xml:space="preserve">No formal employment letter needed (automatic verification with concerned ministry)</w:t>
      </w:r>
    </w:p>
    <w:p>
      <w:pPr>
        <w:pStyle w:val="ListParagraph"/>
        <w:numPr>
          <w:ilvl w:val="0"/>
          <w:numId w:val="2"/>
        </w:numPr>
      </w:pPr>
      <w:r>
        <w:rPr>
          <w:sz w:val="22"/>
          <w:szCs w:val="22"/>
        </w:rPr>
        <w:t xml:space="preserve">Service record extract / Appointment letter</w:t>
      </w:r>
    </w:p>
    <w:p>
      <w:pPr>
        <w:pStyle w:val="Heading2"/>
        <w:spacing w:after="150" w:before="300"/>
      </w:pPr>
      <w:r>
        <w:rPr>
          <w:b/>
          <w:bCs/>
          <w:color w:val="1F4E78"/>
          <w:sz w:val="28"/>
          <w:szCs w:val="28"/>
        </w:rPr>
        <w:t xml:space="preserve">6.4 Self-Employed &amp; Business Owners</w:t>
      </w:r>
    </w:p>
    <w:p>
      <w:pPr>
        <w:spacing w:after="120" w:line="360"/>
      </w:pPr>
      <w:r>
        <w:rPr>
          <w:b w:val="false"/>
          <w:bCs w:val="false"/>
          <w:sz w:val="22"/>
          <w:szCs w:val="22"/>
        </w:rPr>
        <w:t xml:space="preserve">Income Documents (Mandatory):</w:t>
      </w:r>
    </w:p>
    <w:p>
      <w:pPr>
        <w:pStyle w:val="ListParagraph"/>
        <w:numPr>
          <w:ilvl w:val="0"/>
          <w:numId w:val="2"/>
        </w:numPr>
      </w:pPr>
      <w:r>
        <w:rPr>
          <w:sz w:val="22"/>
          <w:szCs w:val="22"/>
        </w:rPr>
        <w:t xml:space="preserve">Income Tax Returns (ITR): Last 3 financial years</w:t>
      </w:r>
    </w:p>
    <w:p>
      <w:pPr>
        <w:pStyle w:val="ListParagraph"/>
        <w:numPr>
          <w:ilvl w:val="0"/>
          <w:numId w:val="2"/>
        </w:numPr>
      </w:pPr>
      <w:r>
        <w:rPr>
          <w:sz w:val="22"/>
          <w:szCs w:val="22"/>
        </w:rPr>
        <w:t xml:space="preserve">Audited Financial Statements: Last 3 years (P&amp;L, Balance Sheet)</w:t>
      </w:r>
    </w:p>
    <w:p>
      <w:pPr>
        <w:pStyle w:val="ListParagraph"/>
        <w:numPr>
          <w:ilvl w:val="0"/>
          <w:numId w:val="2"/>
        </w:numPr>
      </w:pPr>
      <w:r>
        <w:rPr>
          <w:sz w:val="22"/>
          <w:szCs w:val="22"/>
        </w:rPr>
        <w:t xml:space="preserve">Bank statements: Last 12 months (both business and personal)</w:t>
      </w:r>
    </w:p>
    <w:p>
      <w:pPr>
        <w:pStyle w:val="ListParagraph"/>
        <w:numPr>
          <w:ilvl w:val="0"/>
          <w:numId w:val="2"/>
        </w:numPr>
      </w:pPr>
      <w:r>
        <w:rPr>
          <w:sz w:val="22"/>
          <w:szCs w:val="22"/>
        </w:rPr>
        <w:t xml:space="preserve">Auditor's Certificate: Confirming income and financial stability</w:t>
      </w:r>
    </w:p>
    <w:p>
      <w:pPr>
        <w:spacing w:after="120" w:line="360"/>
      </w:pPr>
      <w:r>
        <w:rPr>
          <w:b w:val="false"/>
          <w:bCs w:val="false"/>
          <w:sz w:val="22"/>
          <w:szCs w:val="22"/>
        </w:rPr>
        <w:t xml:space="preserve">Business Documents:</w:t>
      </w:r>
    </w:p>
    <w:p>
      <w:pPr>
        <w:pStyle w:val="ListParagraph"/>
        <w:numPr>
          <w:ilvl w:val="0"/>
          <w:numId w:val="2"/>
        </w:numPr>
      </w:pPr>
      <w:r>
        <w:rPr>
          <w:sz w:val="22"/>
          <w:szCs w:val="22"/>
        </w:rPr>
        <w:t xml:space="preserve">GST Certificate (if applicable) - last 3 years returns</w:t>
      </w:r>
    </w:p>
    <w:p>
      <w:pPr>
        <w:pStyle w:val="ListParagraph"/>
        <w:numPr>
          <w:ilvl w:val="0"/>
          <w:numId w:val="2"/>
        </w:numPr>
      </w:pPr>
      <w:r>
        <w:rPr>
          <w:sz w:val="22"/>
          <w:szCs w:val="22"/>
        </w:rPr>
        <w:t xml:space="preserve">Udyam Registration Certificate</w:t>
      </w:r>
    </w:p>
    <w:p>
      <w:pPr>
        <w:pStyle w:val="ListParagraph"/>
        <w:numPr>
          <w:ilvl w:val="0"/>
          <w:numId w:val="2"/>
        </w:numPr>
      </w:pPr>
      <w:r>
        <w:rPr>
          <w:sz w:val="22"/>
          <w:szCs w:val="22"/>
        </w:rPr>
        <w:t xml:space="preserve">Business license or Shop Act license</w:t>
      </w:r>
    </w:p>
    <w:p>
      <w:pPr>
        <w:pStyle w:val="ListParagraph"/>
        <w:numPr>
          <w:ilvl w:val="0"/>
          <w:numId w:val="2"/>
        </w:numPr>
      </w:pPr>
      <w:r>
        <w:rPr>
          <w:sz w:val="22"/>
          <w:szCs w:val="22"/>
        </w:rPr>
        <w:t xml:space="preserve">Partnership Deed (if partnership/LLP)</w:t>
      </w:r>
    </w:p>
    <w:p>
      <w:pPr>
        <w:pStyle w:val="ListParagraph"/>
        <w:numPr>
          <w:ilvl w:val="0"/>
          <w:numId w:val="2"/>
        </w:numPr>
      </w:pPr>
      <w:r>
        <w:rPr>
          <w:sz w:val="22"/>
          <w:szCs w:val="22"/>
        </w:rPr>
        <w:t xml:space="preserve">Articles &amp; Memorandum of Association (if company)</w:t>
      </w:r>
    </w:p>
    <w:p>
      <w:pPr>
        <w:pStyle w:val="ListParagraph"/>
        <w:numPr>
          <w:ilvl w:val="0"/>
          <w:numId w:val="2"/>
        </w:numPr>
      </w:pPr>
      <w:r>
        <w:rPr>
          <w:sz w:val="22"/>
          <w:szCs w:val="22"/>
        </w:rPr>
        <w:t xml:space="preserve">MOA &amp; AOA (if LLP)</w:t>
      </w:r>
    </w:p>
    <w:p>
      <w:pPr>
        <w:spacing w:after="120" w:line="360"/>
      </w:pPr>
      <w:r>
        <w:rPr>
          <w:b w:val="false"/>
          <w:bCs w:val="false"/>
          <w:sz w:val="22"/>
          <w:szCs w:val="22"/>
        </w:rPr>
        <w:t xml:space="preserve">Additional:</w:t>
      </w:r>
    </w:p>
    <w:p>
      <w:pPr>
        <w:pStyle w:val="ListParagraph"/>
        <w:numPr>
          <w:ilvl w:val="0"/>
          <w:numId w:val="2"/>
        </w:numPr>
      </w:pPr>
      <w:r>
        <w:rPr>
          <w:sz w:val="22"/>
          <w:szCs w:val="22"/>
        </w:rPr>
        <w:t xml:space="preserve">Premises proof: Lease agreement or ownership proof</w:t>
      </w:r>
    </w:p>
    <w:p>
      <w:pPr>
        <w:pStyle w:val="ListParagraph"/>
        <w:numPr>
          <w:ilvl w:val="0"/>
          <w:numId w:val="2"/>
        </w:numPr>
      </w:pPr>
      <w:r>
        <w:rPr>
          <w:sz w:val="22"/>
          <w:szCs w:val="22"/>
        </w:rPr>
        <w:t xml:space="preserve">Utility bills (business location)</w:t>
      </w:r>
    </w:p>
    <w:p>
      <w:pPr>
        <w:pStyle w:val="ListParagraph"/>
        <w:numPr>
          <w:ilvl w:val="0"/>
          <w:numId w:val="2"/>
        </w:numPr>
      </w:pPr>
      <w:r>
        <w:rPr>
          <w:sz w:val="22"/>
          <w:szCs w:val="22"/>
        </w:rPr>
        <w:t xml:space="preserve">Business explanation letter (business description, tenure, growth)</w:t>
      </w:r>
    </w:p>
    <w:p>
      <w:pPr>
        <w:pStyle w:val="Heading2"/>
        <w:spacing w:after="150" w:before="300"/>
      </w:pPr>
      <w:r>
        <w:rPr>
          <w:b/>
          <w:bCs/>
          <w:color w:val="1F4E78"/>
          <w:sz w:val="28"/>
          <w:szCs w:val="28"/>
        </w:rPr>
        <w:t xml:space="preserve">6.5 Co-applicants &amp; Guarantors</w:t>
      </w:r>
    </w:p>
    <w:p>
      <w:pPr>
        <w:spacing w:after="120" w:line="360"/>
      </w:pPr>
      <w:r>
        <w:rPr>
          <w:b w:val="false"/>
          <w:bCs w:val="false"/>
          <w:sz w:val="22"/>
          <w:szCs w:val="22"/>
        </w:rPr>
        <w:t xml:space="preserve">Must provide same documents as primary applicant for their respective employment category, plus:</w:t>
      </w:r>
    </w:p>
    <w:p>
      <w:pPr>
        <w:pStyle w:val="ListParagraph"/>
        <w:numPr>
          <w:ilvl w:val="0"/>
          <w:numId w:val="2"/>
        </w:numPr>
      </w:pPr>
      <w:r>
        <w:rPr>
          <w:sz w:val="22"/>
          <w:szCs w:val="22"/>
        </w:rPr>
        <w:t xml:space="preserve">Relationship proof document</w:t>
      </w:r>
    </w:p>
    <w:p>
      <w:pPr>
        <w:pStyle w:val="ListParagraph"/>
        <w:numPr>
          <w:ilvl w:val="0"/>
          <w:numId w:val="2"/>
        </w:numPr>
      </w:pPr>
      <w:r>
        <w:rPr>
          <w:sz w:val="22"/>
          <w:szCs w:val="22"/>
        </w:rPr>
        <w:t xml:space="preserve">Consent letter (co-applicant/guarantor understanding their obligation)</w:t>
      </w:r>
    </w:p>
    <w:p>
      <w:pPr>
        <w:pStyle w:val="ListParagraph"/>
        <w:numPr>
          <w:ilvl w:val="0"/>
          <w:numId w:val="2"/>
        </w:numPr>
      </w:pPr>
      <w:r>
        <w:rPr>
          <w:sz w:val="22"/>
          <w:szCs w:val="22"/>
        </w:rPr>
        <w:t xml:space="preserve">Guarantee deed (for guarantor, if required)</w:t>
      </w:r>
    </w:p>
    <w:r>
      <w:br w:type="page"/>
    </w:r>
    <w:p>
      <w:pPr>
        <w:pStyle w:val="Heading1"/>
        <w:spacing w:after="200" w:before="400"/>
      </w:pPr>
      <w:r>
        <w:rPr>
          <w:b/>
          <w:bCs/>
          <w:color w:val="003366"/>
          <w:sz w:val="32"/>
          <w:szCs w:val="32"/>
        </w:rPr>
        <w:t xml:space="preserve">7. Income Verification Process</w:t>
      </w:r>
    </w:p>
    <w:p>
      <w:pPr>
        <w:pStyle w:val="Heading2"/>
        <w:spacing w:after="150" w:before="300"/>
      </w:pPr>
      <w:r>
        <w:rPr>
          <w:b/>
          <w:bCs/>
          <w:color w:val="1F4E78"/>
          <w:sz w:val="28"/>
          <w:szCs w:val="28"/>
        </w:rPr>
        <w:t xml:space="preserve">7.1 Salaried Income Verification</w:t>
      </w:r>
    </w:p>
    <w:p>
      <w:pPr>
        <w:spacing w:after="120" w:line="360"/>
      </w:pPr>
      <w:r>
        <w:rPr>
          <w:b w:val="false"/>
          <w:bCs w:val="false"/>
          <w:sz w:val="22"/>
          <w:szCs w:val="22"/>
        </w:rPr>
        <w:t xml:space="preserve">The bank verifies salaried income through multiple checks:</w:t>
      </w:r>
    </w:p>
    <w:p>
      <w:pPr>
        <w:pStyle w:val="ListParagraph"/>
        <w:numPr>
          <w:ilvl w:val="0"/>
          <w:numId w:val="2"/>
        </w:numPr>
      </w:pPr>
      <w:r>
        <w:rPr>
          <w:sz w:val="22"/>
          <w:szCs w:val="22"/>
        </w:rPr>
        <w:t xml:space="preserve">Salary slip consistency: All salary slips must show same employer and consistent salary</w:t>
      </w:r>
    </w:p>
    <w:p>
      <w:pPr>
        <w:pStyle w:val="ListParagraph"/>
        <w:numPr>
          <w:ilvl w:val="0"/>
          <w:numId w:val="2"/>
        </w:numPr>
      </w:pPr>
      <w:r>
        <w:rPr>
          <w:sz w:val="22"/>
          <w:szCs w:val="22"/>
        </w:rPr>
        <w:t xml:space="preserve">Employer verification: Contact with HR/Admin confirming employment status and salary</w:t>
      </w:r>
    </w:p>
    <w:p>
      <w:pPr>
        <w:pStyle w:val="ListParagraph"/>
        <w:numPr>
          <w:ilvl w:val="0"/>
          <w:numId w:val="2"/>
        </w:numPr>
      </w:pPr>
      <w:r>
        <w:rPr>
          <w:sz w:val="22"/>
          <w:szCs w:val="22"/>
        </w:rPr>
        <w:t xml:space="preserve">Bank statement verification: Salary deposits must match salary slip amounts</w:t>
      </w:r>
    </w:p>
    <w:p>
      <w:pPr>
        <w:pStyle w:val="ListParagraph"/>
        <w:numPr>
          <w:ilvl w:val="0"/>
          <w:numId w:val="2"/>
        </w:numPr>
      </w:pPr>
      <w:r>
        <w:rPr>
          <w:sz w:val="22"/>
          <w:szCs w:val="22"/>
        </w:rPr>
        <w:t xml:space="preserve">Form 16 verification: Gross income in Form 16 must align with submitted salary slips</w:t>
      </w:r>
    </w:p>
    <w:p>
      <w:pPr>
        <w:pStyle w:val="ListParagraph"/>
        <w:numPr>
          <w:ilvl w:val="0"/>
          <w:numId w:val="2"/>
        </w:numPr>
      </w:pPr>
      <w:r>
        <w:rPr>
          <w:sz w:val="22"/>
          <w:szCs w:val="22"/>
        </w:rPr>
        <w:t xml:space="preserve">Red flag detection: Large salary increases (&gt;30% YoY) require written explanation</w:t>
      </w:r>
    </w:p>
    <w:p>
      <w:pPr>
        <w:pStyle w:val="Heading2"/>
        <w:spacing w:after="150" w:before="300"/>
      </w:pPr>
      <w:r>
        <w:rPr>
          <w:b/>
          <w:bCs/>
          <w:color w:val="1F4E78"/>
          <w:sz w:val="28"/>
          <w:szCs w:val="28"/>
        </w:rPr>
        <w:t xml:space="preserve">7.2 Self-Employed Income Verification</w:t>
      </w:r>
    </w:p>
    <w:p>
      <w:pPr>
        <w:spacing w:after="120" w:line="360"/>
      </w:pPr>
      <w:r>
        <w:rPr>
          <w:b w:val="false"/>
          <w:bCs w:val="false"/>
          <w:sz w:val="22"/>
          <w:szCs w:val="22"/>
        </w:rPr>
        <w:t xml:space="preserve">Self-employed income is verified conservatively:</w:t>
      </w:r>
    </w:p>
    <w:p>
      <w:pPr>
        <w:pStyle w:val="ListParagraph"/>
        <w:numPr>
          <w:ilvl w:val="0"/>
          <w:numId w:val="2"/>
        </w:numPr>
      </w:pPr>
      <w:r>
        <w:rPr>
          <w:sz w:val="22"/>
          <w:szCs w:val="22"/>
        </w:rPr>
        <w:t xml:space="preserve">ITR vs. Claimed Income: Bank uses lower of (ITR income, claimed income)</w:t>
      </w:r>
    </w:p>
    <w:p>
      <w:pPr>
        <w:pStyle w:val="ListParagraph"/>
        <w:numPr>
          <w:ilvl w:val="0"/>
          <w:numId w:val="2"/>
        </w:numPr>
      </w:pPr>
      <w:r>
        <w:rPr>
          <w:sz w:val="22"/>
          <w:szCs w:val="22"/>
        </w:rPr>
        <w:t xml:space="preserve">Auditor's Certificate: Income must be certified by CA or auditor</w:t>
      </w:r>
    </w:p>
    <w:p>
      <w:pPr>
        <w:pStyle w:val="ListParagraph"/>
        <w:numPr>
          <w:ilvl w:val="0"/>
          <w:numId w:val="2"/>
        </w:numPr>
      </w:pPr>
      <w:r>
        <w:rPr>
          <w:sz w:val="22"/>
          <w:szCs w:val="22"/>
        </w:rPr>
        <w:t xml:space="preserve">Consistency Check: Income should be stable or growing; declining income treated cautiously</w:t>
      </w:r>
    </w:p>
    <w:p>
      <w:pPr>
        <w:pStyle w:val="ListParagraph"/>
        <w:numPr>
          <w:ilvl w:val="0"/>
          <w:numId w:val="2"/>
        </w:numPr>
      </w:pPr>
      <w:r>
        <w:rPr>
          <w:sz w:val="22"/>
          <w:szCs w:val="22"/>
        </w:rPr>
        <w:t xml:space="preserve">Business Verification: GST returns and bank deposits cross-checked against ITR</w:t>
      </w:r>
    </w:p>
    <w:p>
      <w:pPr>
        <w:pStyle w:val="ListParagraph"/>
        <w:numPr>
          <w:ilvl w:val="0"/>
          <w:numId w:val="2"/>
        </w:numPr>
      </w:pPr>
      <w:r>
        <w:rPr>
          <w:sz w:val="22"/>
          <w:szCs w:val="22"/>
        </w:rPr>
        <w:t xml:space="preserve">Time Adjustment: For new businesses (3-5 years), income may be averaged over 3 years</w:t>
      </w:r>
    </w:p>
    <w:p>
      <w:pPr>
        <w:pStyle w:val="Heading2"/>
        <w:spacing w:after="150" w:before="300"/>
      </w:pPr>
      <w:r>
        <w:rPr>
          <w:b/>
          <w:bCs/>
          <w:color w:val="1F4E78"/>
          <w:sz w:val="28"/>
          <w:szCs w:val="28"/>
        </w:rPr>
        <w:t xml:space="preserve">7.3 Bank Statement Analysis</w:t>
      </w:r>
    </w:p>
    <w:p>
      <w:pPr>
        <w:pStyle w:val="Heading3"/>
        <w:spacing w:after="100" w:before="200"/>
      </w:pPr>
      <w:r>
        <w:rPr>
          <w:b/>
          <w:bCs/>
          <w:color w:val="1F4E78"/>
          <w:sz w:val="24"/>
          <w:szCs w:val="24"/>
        </w:rPr>
        <w:t xml:space="preserve">Acceptable Income Sources:</w:t>
      </w:r>
    </w:p>
    <w:p>
      <w:pPr>
        <w:pStyle w:val="ListParagraph"/>
        <w:numPr>
          <w:ilvl w:val="0"/>
          <w:numId w:val="2"/>
        </w:numPr>
      </w:pPr>
      <w:r>
        <w:rPr>
          <w:sz w:val="22"/>
          <w:szCs w:val="22"/>
        </w:rPr>
        <w:t xml:space="preserve">Regular salary deposits</w:t>
      </w:r>
    </w:p>
    <w:p>
      <w:pPr>
        <w:pStyle w:val="ListParagraph"/>
        <w:numPr>
          <w:ilvl w:val="0"/>
          <w:numId w:val="2"/>
        </w:numPr>
      </w:pPr>
      <w:r>
        <w:rPr>
          <w:sz w:val="22"/>
          <w:szCs w:val="22"/>
        </w:rPr>
        <w:t xml:space="preserve">Business invoice/turnover deposits</w:t>
      </w:r>
    </w:p>
    <w:p>
      <w:pPr>
        <w:pStyle w:val="ListParagraph"/>
        <w:numPr>
          <w:ilvl w:val="0"/>
          <w:numId w:val="2"/>
        </w:numPr>
      </w:pPr>
      <w:r>
        <w:rPr>
          <w:sz w:val="22"/>
          <w:szCs w:val="22"/>
        </w:rPr>
        <w:t xml:space="preserve">Interest/dividend income</w:t>
      </w:r>
    </w:p>
    <w:p>
      <w:pPr>
        <w:pStyle w:val="ListParagraph"/>
        <w:numPr>
          <w:ilvl w:val="0"/>
          <w:numId w:val="2"/>
        </w:numPr>
      </w:pPr>
      <w:r>
        <w:rPr>
          <w:sz w:val="22"/>
          <w:szCs w:val="22"/>
        </w:rPr>
        <w:t xml:space="preserve">Rental income (with registered lease agreement)</w:t>
      </w:r>
    </w:p>
    <w:p>
      <w:pPr>
        <w:pStyle w:val="ListParagraph"/>
        <w:numPr>
          <w:ilvl w:val="0"/>
          <w:numId w:val="2"/>
        </w:numPr>
      </w:pPr>
      <w:r>
        <w:rPr>
          <w:sz w:val="22"/>
          <w:szCs w:val="22"/>
        </w:rPr>
        <w:t xml:space="preserve">Professional consultation fees</w:t>
      </w:r>
    </w:p>
    <w:p>
      <w:pPr>
        <w:pStyle w:val="Heading3"/>
        <w:spacing w:after="100" w:before="200"/>
      </w:pPr>
      <w:r>
        <w:rPr>
          <w:b/>
          <w:bCs/>
          <w:color w:val="1F4E78"/>
          <w:sz w:val="24"/>
          <w:szCs w:val="24"/>
        </w:rPr>
        <w:t xml:space="preserve">Red Flags (Income may be rejected):</w:t>
      </w:r>
    </w:p>
    <w:p>
      <w:pPr>
        <w:pStyle w:val="ListParagraph"/>
        <w:numPr>
          <w:ilvl w:val="0"/>
          <w:numId w:val="2"/>
        </w:numPr>
      </w:pPr>
      <w:r>
        <w:rPr>
          <w:sz w:val="22"/>
          <w:szCs w:val="22"/>
        </w:rPr>
        <w:t xml:space="preserve">Irregular, sporadic deposits</w:t>
      </w:r>
    </w:p>
    <w:p>
      <w:pPr>
        <w:pStyle w:val="ListParagraph"/>
        <w:numPr>
          <w:ilvl w:val="0"/>
          <w:numId w:val="2"/>
        </w:numPr>
      </w:pPr>
      <w:r>
        <w:rPr>
          <w:sz w:val="22"/>
          <w:szCs w:val="22"/>
        </w:rPr>
        <w:t xml:space="preserve">Round-number deposits (suggests informal/cash income)</w:t>
      </w:r>
    </w:p>
    <w:p>
      <w:pPr>
        <w:pStyle w:val="ListParagraph"/>
        <w:numPr>
          <w:ilvl w:val="0"/>
          <w:numId w:val="2"/>
        </w:numPr>
      </w:pPr>
      <w:r>
        <w:rPr>
          <w:sz w:val="22"/>
          <w:szCs w:val="22"/>
        </w:rPr>
        <w:t xml:space="preserve">Deposits from unverifiable sources</w:t>
      </w:r>
    </w:p>
    <w:p>
      <w:pPr>
        <w:pStyle w:val="ListParagraph"/>
        <w:numPr>
          <w:ilvl w:val="0"/>
          <w:numId w:val="2"/>
        </w:numPr>
      </w:pPr>
      <w:r>
        <w:rPr>
          <w:sz w:val="22"/>
          <w:szCs w:val="22"/>
        </w:rPr>
        <w:t xml:space="preserve">Deposits coinciding with loan application (suggests borrowed money)</w:t>
      </w:r>
    </w:p>
    <w:p>
      <w:pPr>
        <w:pStyle w:val="ListParagraph"/>
        <w:numPr>
          <w:ilvl w:val="0"/>
          <w:numId w:val="2"/>
        </w:numPr>
      </w:pPr>
      <w:r>
        <w:rPr>
          <w:sz w:val="22"/>
          <w:szCs w:val="22"/>
        </w:rPr>
        <w:t xml:space="preserve">Multiple deposits on same date from different sources (unclear origin)</w:t>
      </w:r>
    </w:p>
    <w:p>
      <w:pPr>
        <w:pStyle w:val="Heading2"/>
        <w:spacing w:after="150" w:before="300"/>
      </w:pPr>
      <w:r>
        <w:rPr>
          <w:b/>
          <w:bCs/>
          <w:color w:val="1F4E78"/>
          <w:sz w:val="28"/>
          <w:szCs w:val="28"/>
        </w:rPr>
        <w:t xml:space="preserve">7.4 Bonus &amp; Commission Income</w:t>
      </w:r>
    </w:p>
    <w:p>
      <w:pPr>
        <w:spacing w:after="120" w:line="360"/>
      </w:pPr>
      <w:r>
        <w:rPr>
          <w:b w:val="false"/>
          <w:bCs w:val="false"/>
          <w:sz w:val="22"/>
          <w:szCs w:val="22"/>
        </w:rPr>
        <w:t xml:space="preserve">Bonus and commission components are calculated conservatively:</w:t>
      </w:r>
    </w:p>
    <w:p>
      <w:pPr>
        <w:pStyle w:val="ListParagraph"/>
        <w:numPr>
          <w:ilvl w:val="0"/>
          <w:numId w:val="2"/>
        </w:numPr>
      </w:pPr>
      <w:r>
        <w:rPr>
          <w:sz w:val="22"/>
          <w:szCs w:val="22"/>
        </w:rPr>
        <w:t xml:space="preserve">Minimum tenure: Must have received bonus/commission for minimum 2 years</w:t>
      </w:r>
    </w:p>
    <w:p>
      <w:pPr>
        <w:pStyle w:val="ListParagraph"/>
        <w:numPr>
          <w:ilvl w:val="0"/>
          <w:numId w:val="2"/>
        </w:numPr>
      </w:pPr>
      <w:r>
        <w:rPr>
          <w:sz w:val="22"/>
          <w:szCs w:val="22"/>
        </w:rPr>
        <w:t xml:space="preserve">Consistency: Must show pattern of regular receipt (not one-time)</w:t>
      </w:r>
    </w:p>
    <w:p>
      <w:pPr>
        <w:pStyle w:val="ListParagraph"/>
        <w:numPr>
          <w:ilvl w:val="0"/>
          <w:numId w:val="2"/>
        </w:numPr>
      </w:pPr>
      <w:r>
        <w:rPr>
          <w:sz w:val="22"/>
          <w:szCs w:val="22"/>
        </w:rPr>
        <w:t xml:space="preserve">Calculation: Take average of last 3 years; apply 50% haircut</w:t>
      </w:r>
    </w:p>
    <w:p>
      <w:pPr>
        <w:pStyle w:val="ListParagraph"/>
        <w:numPr>
          <w:ilvl w:val="0"/>
          <w:numId w:val="2"/>
        </w:numPr>
      </w:pPr>
      <w:r>
        <w:rPr>
          <w:sz w:val="22"/>
          <w:szCs w:val="22"/>
        </w:rPr>
        <w:t xml:space="preserve">Documentation: Must have communication from employer confirming non-discretionary nature</w:t>
      </w:r>
    </w:p>
    <w:r>
      <w:br w:type="page"/>
    </w:r>
    <w:p>
      <w:pPr>
        <w:pStyle w:val="Heading1"/>
        <w:spacing w:after="200" w:before="400"/>
      </w:pPr>
      <w:r>
        <w:rPr>
          <w:b/>
          <w:bCs/>
          <w:color w:val="003366"/>
          <w:sz w:val="32"/>
          <w:szCs w:val="32"/>
        </w:rPr>
        <w:t xml:space="preserve">8. Processing &amp; Disbursement</w:t>
      </w:r>
    </w:p>
    <w:p>
      <w:pPr>
        <w:pStyle w:val="Heading2"/>
        <w:spacing w:after="150" w:before="300"/>
      </w:pPr>
      <w:r>
        <w:rPr>
          <w:b/>
          <w:bCs/>
          <w:color w:val="1F4E78"/>
          <w:sz w:val="28"/>
          <w:szCs w:val="28"/>
        </w:rPr>
        <w:t xml:space="preserve">8.1 Application Processing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Applicant Profile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CIBIL Score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Approval Timeline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Likely Status</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&gt;= 700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2-4 hours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Instant Approval</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650-699</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24 hours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Same-day</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600-649</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3-5 days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Standard review</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5-7 days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Doc verification</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&lt;650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7-10 days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Enhanced due dil.</w:t>
            </w:r>
          </w:p>
        </w:tc>
      </w:tr>
    </w:tbl>
    <w:p>
      <w:pPr>
        <w:pStyle w:val="Heading2"/>
        <w:spacing w:after="150" w:before="300"/>
      </w:pPr>
      <w:r>
        <w:rPr>
          <w:b/>
          <w:bCs/>
          <w:color w:val="1F4E78"/>
          <w:sz w:val="28"/>
          <w:szCs w:val="28"/>
        </w:rPr>
        <w:t xml:space="preserve">8.2 Processing Steps</w:t>
      </w:r>
    </w:p>
    <w:p>
      <w:pPr>
        <w:pStyle w:val="ListParagraph"/>
        <w:numPr>
          <w:ilvl w:val="0"/>
          <w:numId w:val="2"/>
        </w:numPr>
      </w:pPr>
      <w:r>
        <w:rPr>
          <w:sz w:val="22"/>
          <w:szCs w:val="22"/>
        </w:rPr>
        <w:t xml:space="preserve">Step 1: Document Verification - All submitted documents are checked for authenticity</w:t>
      </w:r>
    </w:p>
    <w:p>
      <w:pPr>
        <w:pStyle w:val="ListParagraph"/>
        <w:numPr>
          <w:ilvl w:val="0"/>
          <w:numId w:val="2"/>
        </w:numPr>
      </w:pPr>
      <w:r>
        <w:rPr>
          <w:sz w:val="22"/>
          <w:szCs w:val="22"/>
        </w:rPr>
        <w:t xml:space="preserve">Step 2: Credit Check - CIBIL report is pulled with applicant's consent</w:t>
      </w:r>
    </w:p>
    <w:p>
      <w:pPr>
        <w:pStyle w:val="ListParagraph"/>
        <w:numPr>
          <w:ilvl w:val="0"/>
          <w:numId w:val="2"/>
        </w:numPr>
      </w:pPr>
      <w:r>
        <w:rPr>
          <w:sz w:val="22"/>
          <w:szCs w:val="22"/>
        </w:rPr>
        <w:t xml:space="preserve">Step 3: Income Verification - Employer/business verification and income validation</w:t>
      </w:r>
    </w:p>
    <w:p>
      <w:pPr>
        <w:pStyle w:val="ListParagraph"/>
        <w:numPr>
          <w:ilvl w:val="0"/>
          <w:numId w:val="2"/>
        </w:numPr>
      </w:pPr>
      <w:r>
        <w:rPr>
          <w:sz w:val="22"/>
          <w:szCs w:val="22"/>
        </w:rPr>
        <w:t xml:space="preserve">Step 4: Property Verification - If applicable, property is verified</w:t>
      </w:r>
    </w:p>
    <w:p>
      <w:pPr>
        <w:pStyle w:val="ListParagraph"/>
        <w:numPr>
          <w:ilvl w:val="0"/>
          <w:numId w:val="2"/>
        </w:numPr>
      </w:pPr>
      <w:r>
        <w:rPr>
          <w:sz w:val="22"/>
          <w:szCs w:val="22"/>
        </w:rPr>
        <w:t xml:space="preserve">Step 5: Credit Committee Review - Loan decision by credit committee for marginal cases</w:t>
      </w:r>
    </w:p>
    <w:p>
      <w:pPr>
        <w:pStyle w:val="ListParagraph"/>
        <w:numPr>
          <w:ilvl w:val="0"/>
          <w:numId w:val="2"/>
        </w:numPr>
      </w:pPr>
      <w:r>
        <w:rPr>
          <w:sz w:val="22"/>
          <w:szCs w:val="22"/>
        </w:rPr>
        <w:t xml:space="preserve">Step 6: Loan Sanction - Approval letter issued with all terms and conditions</w:t>
      </w:r>
    </w:p>
    <w:p>
      <w:pPr>
        <w:pStyle w:val="ListParagraph"/>
        <w:numPr>
          <w:ilvl w:val="0"/>
          <w:numId w:val="2"/>
        </w:numPr>
      </w:pPr>
      <w:r>
        <w:rPr>
          <w:sz w:val="22"/>
          <w:szCs w:val="22"/>
        </w:rPr>
        <w:t xml:space="preserve">Step 7: Loan Agreement Signing - Applicant signs loan agreement and other documents</w:t>
      </w:r>
    </w:p>
    <w:p>
      <w:pPr>
        <w:pStyle w:val="ListParagraph"/>
        <w:numPr>
          <w:ilvl w:val="0"/>
          <w:numId w:val="2"/>
        </w:numPr>
      </w:pPr>
      <w:r>
        <w:rPr>
          <w:sz w:val="22"/>
          <w:szCs w:val="22"/>
        </w:rPr>
        <w:t xml:space="preserve">Step 8: Disbursement - Funds transferred to applicant's bank account</w:t>
      </w:r>
    </w:p>
    <w:p>
      <w:pPr>
        <w:pStyle w:val="Heading2"/>
        <w:spacing w:after="150" w:before="300"/>
      </w:pPr>
      <w:r>
        <w:rPr>
          <w:b/>
          <w:bCs/>
          <w:color w:val="1F4E78"/>
          <w:sz w:val="28"/>
          <w:szCs w:val="28"/>
        </w:rPr>
        <w:t xml:space="preserve">8.3 Loan Sanction Letter</w:t>
      </w:r>
    </w:p>
    <w:p>
      <w:pPr>
        <w:spacing w:after="120" w:line="360"/>
      </w:pPr>
      <w:r>
        <w:rPr>
          <w:b w:val="false"/>
          <w:bCs w:val="false"/>
          <w:sz w:val="22"/>
          <w:szCs w:val="22"/>
        </w:rPr>
        <w:t xml:space="preserve">Upon approval, a detailed Loan Sanction Letter is issued containing:</w:t>
      </w:r>
    </w:p>
    <w:p>
      <w:pPr>
        <w:pStyle w:val="ListParagraph"/>
        <w:numPr>
          <w:ilvl w:val="0"/>
          <w:numId w:val="2"/>
        </w:numPr>
      </w:pPr>
      <w:r>
        <w:rPr>
          <w:sz w:val="22"/>
          <w:szCs w:val="22"/>
        </w:rPr>
        <w:t xml:space="preserve">Loan amount sanctioned</w:t>
      </w:r>
    </w:p>
    <w:p>
      <w:pPr>
        <w:pStyle w:val="ListParagraph"/>
        <w:numPr>
          <w:ilvl w:val="0"/>
          <w:numId w:val="2"/>
        </w:numPr>
      </w:pPr>
      <w:r>
        <w:rPr>
          <w:sz w:val="22"/>
          <w:szCs w:val="22"/>
        </w:rPr>
        <w:t xml:space="preserve">Interest rate applicable</w:t>
      </w:r>
    </w:p>
    <w:p>
      <w:pPr>
        <w:pStyle w:val="ListParagraph"/>
        <w:numPr>
          <w:ilvl w:val="0"/>
          <w:numId w:val="2"/>
        </w:numPr>
      </w:pPr>
      <w:r>
        <w:rPr>
          <w:sz w:val="22"/>
          <w:szCs w:val="22"/>
        </w:rPr>
        <w:t xml:space="preserve">Loan tenure and EMI amount</w:t>
      </w:r>
    </w:p>
    <w:p>
      <w:pPr>
        <w:pStyle w:val="ListParagraph"/>
        <w:numPr>
          <w:ilvl w:val="0"/>
          <w:numId w:val="2"/>
        </w:numPr>
      </w:pPr>
      <w:r>
        <w:rPr>
          <w:sz w:val="22"/>
          <w:szCs w:val="22"/>
        </w:rPr>
        <w:t xml:space="preserve">All processing and other charges</w:t>
      </w:r>
    </w:p>
    <w:p>
      <w:pPr>
        <w:pStyle w:val="ListParagraph"/>
        <w:numPr>
          <w:ilvl w:val="0"/>
          <w:numId w:val="2"/>
        </w:numPr>
      </w:pPr>
      <w:r>
        <w:rPr>
          <w:sz w:val="22"/>
          <w:szCs w:val="22"/>
        </w:rPr>
        <w:t xml:space="preserve">Repayment schedule</w:t>
      </w:r>
    </w:p>
    <w:p>
      <w:pPr>
        <w:pStyle w:val="ListParagraph"/>
        <w:numPr>
          <w:ilvl w:val="0"/>
          <w:numId w:val="2"/>
        </w:numPr>
      </w:pPr>
      <w:r>
        <w:rPr>
          <w:sz w:val="22"/>
          <w:szCs w:val="22"/>
        </w:rPr>
        <w:t xml:space="preserve">Conditions of loan (covenants)</w:t>
      </w:r>
    </w:p>
    <w:p>
      <w:pPr>
        <w:pStyle w:val="ListParagraph"/>
        <w:numPr>
          <w:ilvl w:val="0"/>
          <w:numId w:val="2"/>
        </w:numPr>
      </w:pPr>
      <w:r>
        <w:rPr>
          <w:sz w:val="22"/>
          <w:szCs w:val="22"/>
        </w:rPr>
        <w:t xml:space="preserve">Security requirements (if any)</w:t>
      </w:r>
    </w:p>
    <w:p>
      <w:pPr>
        <w:pStyle w:val="Heading2"/>
        <w:spacing w:after="150" w:before="300"/>
      </w:pPr>
      <w:r>
        <w:rPr>
          <w:b/>
          <w:bCs/>
          <w:color w:val="1F4E78"/>
          <w:sz w:val="28"/>
          <w:szCs w:val="28"/>
        </w:rPr>
        <w:t xml:space="preserve">8.4 Disbursement Process</w:t>
      </w:r>
    </w:p>
    <w:p>
      <w:pPr>
        <w:spacing w:after="120" w:line="360"/>
      </w:pPr>
      <w:r>
        <w:rPr>
          <w:b w:val="false"/>
          <w:bCs w:val="false"/>
          <w:sz w:val="22"/>
          <w:szCs w:val="22"/>
        </w:rPr>
        <w:t xml:space="preserve">Funds are disbursed after:</w:t>
      </w:r>
    </w:p>
    <w:p>
      <w:pPr>
        <w:pStyle w:val="ListParagraph"/>
        <w:numPr>
          <w:ilvl w:val="0"/>
          <w:numId w:val="2"/>
        </w:numPr>
      </w:pPr>
      <w:r>
        <w:rPr>
          <w:sz w:val="22"/>
          <w:szCs w:val="22"/>
        </w:rPr>
        <w:t xml:space="preserve">Receipt of signed loan agreement and supporting documents</w:t>
      </w:r>
    </w:p>
    <w:p>
      <w:pPr>
        <w:pStyle w:val="ListParagraph"/>
        <w:numPr>
          <w:ilvl w:val="0"/>
          <w:numId w:val="2"/>
        </w:numPr>
      </w:pPr>
      <w:r>
        <w:rPr>
          <w:sz w:val="22"/>
          <w:szCs w:val="22"/>
        </w:rPr>
        <w:t xml:space="preserve">Completion of all verifications</w:t>
      </w:r>
    </w:p>
    <w:p>
      <w:pPr>
        <w:pStyle w:val="ListParagraph"/>
        <w:numPr>
          <w:ilvl w:val="0"/>
          <w:numId w:val="2"/>
        </w:numPr>
      </w:pPr>
      <w:r>
        <w:rPr>
          <w:sz w:val="22"/>
          <w:szCs w:val="22"/>
        </w:rPr>
        <w:t xml:space="preserve">All clearances from credit and compliance team</w:t>
      </w:r>
    </w:p>
    <w:p>
      <w:pPr>
        <w:spacing w:after="120" w:line="360"/>
      </w:pPr>
      <w:r>
        <w:rPr>
          <w:b w:val="false"/>
          <w:bCs w:val="false"/>
          <w:sz w:val="22"/>
          <w:szCs w:val="22"/>
        </w:rPr>
        <w:t xml:space="preserve">Disbursement timing: Within 1-2 working days after satisfying all conditions</w:t>
      </w:r>
    </w:p>
    <w:p>
      <w:pPr>
        <w:spacing w:after="120" w:line="360"/>
      </w:pPr>
      <w:r>
        <w:rPr>
          <w:b w:val="false"/>
          <w:bCs w:val="false"/>
          <w:sz w:val="22"/>
          <w:szCs w:val="22"/>
        </w:rPr>
        <w:t xml:space="preserve">Disbursement mode: Direct credit to applicant's bank account (NEFT/RTGS)</w:t>
      </w:r>
    </w:p>
    <w:r>
      <w:br w:type="page"/>
    </w:r>
    <w:p>
      <w:pPr>
        <w:pStyle w:val="Heading1"/>
        <w:spacing w:after="200" w:before="400"/>
      </w:pPr>
      <w:r>
        <w:rPr>
          <w:b/>
          <w:bCs/>
          <w:color w:val="003366"/>
          <w:sz w:val="32"/>
          <w:szCs w:val="32"/>
        </w:rPr>
        <w:t xml:space="preserve">9. Charges &amp; Fees</w:t>
      </w:r>
    </w:p>
    <w:p>
      <w:pPr>
        <w:pStyle w:val="Heading2"/>
        <w:spacing w:after="150" w:before="300"/>
      </w:pPr>
      <w:r>
        <w:rPr>
          <w:b/>
          <w:bCs/>
          <w:color w:val="1F4E78"/>
          <w:sz w:val="28"/>
          <w:szCs w:val="28"/>
        </w:rPr>
        <w:t xml:space="preserve">9.1 Processing Fee</w:t>
      </w:r>
    </w:p>
    <w:p>
      <w:pPr>
        <w:spacing w:after="120" w:line="360"/>
      </w:pPr>
      <w:r>
        <w:rPr>
          <w:b w:val="false"/>
          <w:bCs w:val="false"/>
          <w:sz w:val="22"/>
          <w:szCs w:val="22"/>
        </w:rPr>
        <w:t xml:space="preserve">A one-time processing fee is charged: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Loan Amount</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Processing Fee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Deduction</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&lt; ₹5 lakhs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0.75% - 1.00%</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From loan amount</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₹5 - 10 lakhs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0.50% - 0.75%</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From loan amount</w:t>
            </w:r>
          </w:p>
        </w:tc>
      </w:tr>
      <w:tr>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&gt; ₹10 lakhs</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0.25% - 0.50%</w:t>
            </w:r>
          </w:p>
        </w:tc>
        <w:tc>
          <w:tcPr>
            <w:tcW w:type="dxa" w:w="312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From loan amount</w:t>
            </w:r>
          </w:p>
        </w:tc>
      </w:tr>
    </w:tbl>
    <w:p>
      <w:pPr>
        <w:spacing w:after="120" w:line="360"/>
      </w:pPr>
      <w:r>
        <w:rPr>
          <w:b w:val="false"/>
          <w:bCs w:val="false"/>
          <w:sz w:val="22"/>
          <w:szCs w:val="22"/>
        </w:rPr>
        <w:t xml:space="preserve">Example: Loan of ₹5 lakhs with 0.75% processing fee = ₹3,750 fee (deducted, net disbursement ₹4,96,250)</w:t>
      </w:r>
    </w:p>
    <w:p>
      <w:pPr>
        <w:pStyle w:val="Heading2"/>
        <w:spacing w:after="150" w:before="300"/>
      </w:pPr>
      <w:r>
        <w:rPr>
          <w:b/>
          <w:bCs/>
          <w:color w:val="1F4E78"/>
          <w:sz w:val="28"/>
          <w:szCs w:val="28"/>
        </w:rPr>
        <w:t xml:space="preserve">9.2 Other Charges</w:t>
      </w:r>
    </w:p>
    <w:p>
      <w:pPr>
        <w:spacing w:after="120" w:line="360"/>
      </w:pPr>
      <w:r>
        <w:rPr>
          <w:b w:val="false"/>
          <w:bCs w:val="false"/>
          <w:sz w:val="22"/>
          <w:szCs w:val="22"/>
        </w:rPr>
        <w:t xml:space="preserve">The following charges apply where applicable:</w:t>
      </w:r>
    </w:p>
    <w:p>
      <w:pPr>
        <w:pStyle w:val="ListParagraph"/>
        <w:numPr>
          <w:ilvl w:val="0"/>
          <w:numId w:val="2"/>
        </w:numPr>
      </w:pPr>
      <w:r>
        <w:rPr>
          <w:sz w:val="22"/>
          <w:szCs w:val="22"/>
        </w:rPr>
        <w:t xml:space="preserve">EMI Bounce Charges: ₹100-300 per bounce (charged when auto-debit fails)</w:t>
      </w:r>
    </w:p>
    <w:p>
      <w:pPr>
        <w:pStyle w:val="ListParagraph"/>
        <w:numPr>
          <w:ilvl w:val="0"/>
          <w:numId w:val="2"/>
        </w:numPr>
      </w:pPr>
      <w:r>
        <w:rPr>
          <w:sz w:val="22"/>
          <w:szCs w:val="22"/>
        </w:rPr>
        <w:t xml:space="preserve">Late Payment Charges: ₹200-500 per EMI overdue by 30+ days</w:t>
      </w:r>
    </w:p>
    <w:p>
      <w:pPr>
        <w:pStyle w:val="ListParagraph"/>
        <w:numPr>
          <w:ilvl w:val="0"/>
          <w:numId w:val="2"/>
        </w:numPr>
      </w:pPr>
      <w:r>
        <w:rPr>
          <w:sz w:val="22"/>
          <w:szCs w:val="22"/>
        </w:rPr>
        <w:t xml:space="preserve">Cheque Bouncing: ₹500-1,000 (if payment via cheque bounces)</w:t>
      </w:r>
    </w:p>
    <w:p>
      <w:pPr>
        <w:pStyle w:val="ListParagraph"/>
        <w:numPr>
          <w:ilvl w:val="0"/>
          <w:numId w:val="2"/>
        </w:numPr>
      </w:pPr>
      <w:r>
        <w:rPr>
          <w:sz w:val="22"/>
          <w:szCs w:val="22"/>
        </w:rPr>
        <w:t xml:space="preserve">Statement of Account: ₹50-100 per statement (waived if online access available)</w:t>
      </w:r>
    </w:p>
    <w:p>
      <w:pPr>
        <w:pStyle w:val="ListParagraph"/>
        <w:numPr>
          <w:ilvl w:val="0"/>
          <w:numId w:val="2"/>
        </w:numPr>
      </w:pPr>
      <w:r>
        <w:rPr>
          <w:sz w:val="22"/>
          <w:szCs w:val="22"/>
        </w:rPr>
        <w:t xml:space="preserve">Duplicate Document Charges: ₹200-300 per document</w:t>
      </w:r>
    </w:p>
    <w:p>
      <w:pPr>
        <w:pStyle w:val="ListParagraph"/>
        <w:numPr>
          <w:ilvl w:val="0"/>
          <w:numId w:val="2"/>
        </w:numPr>
      </w:pPr>
      <w:r>
        <w:rPr>
          <w:sz w:val="22"/>
          <w:szCs w:val="22"/>
        </w:rPr>
        <w:t xml:space="preserve">Prepayment Charges: 0% - 2% of outstanding balance (reduced for govt. employees)</w:t>
      </w:r>
    </w:p>
    <w:p>
      <w:pPr>
        <w:pStyle w:val="Heading2"/>
        <w:spacing w:after="150" w:before="300"/>
      </w:pPr>
      <w:r>
        <w:rPr>
          <w:b/>
          <w:bCs/>
          <w:color w:val="1F4E78"/>
          <w:sz w:val="28"/>
          <w:szCs w:val="28"/>
        </w:rPr>
        <w:t xml:space="preserve">9.3 Insurance &amp; Other Optional Charges</w:t>
      </w:r>
    </w:p>
    <w:p>
      <w:pPr>
        <w:spacing w:after="120" w:line="360"/>
      </w:pPr>
      <w:r>
        <w:rPr>
          <w:b w:val="false"/>
          <w:bCs w:val="false"/>
          <w:sz w:val="22"/>
          <w:szCs w:val="22"/>
        </w:rPr>
        <w:t xml:space="preserve">The bank offers optional protection products:</w:t>
      </w:r>
    </w:p>
    <w:p>
      <w:pPr>
        <w:pStyle w:val="ListParagraph"/>
        <w:numPr>
          <w:ilvl w:val="0"/>
          <w:numId w:val="2"/>
        </w:numPr>
      </w:pPr>
      <w:r>
        <w:rPr>
          <w:sz w:val="22"/>
          <w:szCs w:val="22"/>
        </w:rPr>
        <w:t xml:space="preserve">Loan Protection Insurance: 0.25% - 0.50% of loan amount per annum (covers job loss, death)</w:t>
      </w:r>
    </w:p>
    <w:p>
      <w:pPr>
        <w:pStyle w:val="ListParagraph"/>
        <w:numPr>
          <w:ilvl w:val="0"/>
          <w:numId w:val="2"/>
        </w:numPr>
      </w:pPr>
      <w:r>
        <w:rPr>
          <w:sz w:val="22"/>
          <w:szCs w:val="22"/>
        </w:rPr>
        <w:t xml:space="preserve">Credit Shield Insurance: 0.40% p.a. (covers EMI in case of disability/hospitalization)</w:t>
      </w:r>
    </w:p>
    <w:p>
      <w:pPr>
        <w:pStyle w:val="ListParagraph"/>
        <w:numPr>
          <w:ilvl w:val="0"/>
          <w:numId w:val="2"/>
        </w:numPr>
      </w:pPr>
      <w:r>
        <w:rPr>
          <w:sz w:val="22"/>
          <w:szCs w:val="22"/>
        </w:rPr>
        <w:t xml:space="preserve">All insurance charges are optional and communicated explicitly</w:t>
      </w:r>
    </w:p>
    <w:r>
      <w:br w:type="page"/>
    </w:r>
    <w:p>
      <w:pPr>
        <w:pStyle w:val="Heading1"/>
        <w:spacing w:after="200" w:before="400"/>
      </w:pPr>
      <w:r>
        <w:rPr>
          <w:b/>
          <w:bCs/>
          <w:color w:val="003366"/>
          <w:sz w:val="32"/>
          <w:szCs w:val="32"/>
        </w:rPr>
        <w:t xml:space="preserve">10. Default &amp; Recovery</w:t>
      </w:r>
    </w:p>
    <w:p>
      <w:pPr>
        <w:pStyle w:val="Heading2"/>
        <w:spacing w:after="150" w:before="300"/>
      </w:pPr>
      <w:r>
        <w:rPr>
          <w:b/>
          <w:bCs/>
          <w:color w:val="1F4E78"/>
          <w:sz w:val="28"/>
          <w:szCs w:val="28"/>
        </w:rPr>
        <w:t xml:space="preserve">10.1 Account Classification &amp; Escalation</w:t>
      </w:r>
    </w:p>
    <w:p>
      <w:pPr>
        <w:spacing w:after="120" w:line="360"/>
      </w:pPr>
      <w:r>
        <w:rPr>
          <w:b w:val="false"/>
          <w:bCs w:val="false"/>
          <w:sz w:val="22"/>
          <w:szCs w:val="22"/>
        </w:rPr>
        <w:t xml:space="preserve">Loan accounts are classified based on days past 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Days Overdue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Classification</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Bank Action</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Rate Change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CIBIL Impact</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0-30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Standard</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SMS/Call reminder</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None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None</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31-60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Sub-standard</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Legal notice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+1-2%</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Marked 30+</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61-90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Doubtful</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Recovery proceedings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Max rate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Marked 60+</w:t>
            </w:r>
          </w:p>
        </w:tc>
      </w:tr>
      <w:tr>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90+ days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Loss</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Refer to agency/legal</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Max rate</w:t>
            </w:r>
          </w:p>
        </w:tc>
        <w:tc>
          <w:tcPr>
            <w:tcW w:type="dxa" w:w="1872"/>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Marked 90+</w:t>
            </w:r>
          </w:p>
        </w:tc>
      </w:tr>
    </w:tbl>
    <w:p>
      <w:pPr>
        <w:pStyle w:val="Heading2"/>
        <w:spacing w:after="150" w:before="300"/>
      </w:pPr>
      <w:r>
        <w:rPr>
          <w:b/>
          <w:bCs/>
          <w:color w:val="1F4E78"/>
          <w:sz w:val="28"/>
          <w:szCs w:val="28"/>
        </w:rPr>
        <w:t xml:space="preserve">10.2 Recovery Process &amp; Legal Action</w:t>
      </w:r>
    </w:p>
    <w:p>
      <w:pPr>
        <w:pStyle w:val="Heading3"/>
        <w:spacing w:after="100" w:before="200"/>
      </w:pPr>
      <w:r>
        <w:rPr>
          <w:b/>
          <w:bCs/>
          <w:color w:val="1F4E78"/>
          <w:sz w:val="24"/>
          <w:szCs w:val="24"/>
        </w:rPr>
        <w:t xml:space="preserve">Initial Recovery Steps (Days 1-60):</w:t>
      </w:r>
    </w:p>
    <w:p>
      <w:pPr>
        <w:pStyle w:val="ListParagraph"/>
        <w:numPr>
          <w:ilvl w:val="0"/>
          <w:numId w:val="2"/>
        </w:numPr>
      </w:pPr>
      <w:r>
        <w:rPr>
          <w:sz w:val="22"/>
          <w:szCs w:val="22"/>
        </w:rPr>
        <w:t xml:space="preserve">Automated SMS reminder on due date</w:t>
      </w:r>
    </w:p>
    <w:p>
      <w:pPr>
        <w:pStyle w:val="ListParagraph"/>
        <w:numPr>
          <w:ilvl w:val="0"/>
          <w:numId w:val="2"/>
        </w:numPr>
      </w:pPr>
      <w:r>
        <w:rPr>
          <w:sz w:val="22"/>
          <w:szCs w:val="22"/>
        </w:rPr>
        <w:t xml:space="preserve">Courtesy call from customer service on day 5 of default</w:t>
      </w:r>
    </w:p>
    <w:p>
      <w:pPr>
        <w:pStyle w:val="ListParagraph"/>
        <w:numPr>
          <w:ilvl w:val="0"/>
          <w:numId w:val="2"/>
        </w:numPr>
      </w:pPr>
      <w:r>
        <w:rPr>
          <w:sz w:val="22"/>
          <w:szCs w:val="22"/>
        </w:rPr>
        <w:t xml:space="preserve">Escalation call on day 15-20</w:t>
      </w:r>
    </w:p>
    <w:p>
      <w:pPr>
        <w:pStyle w:val="ListParagraph"/>
        <w:numPr>
          <w:ilvl w:val="0"/>
          <w:numId w:val="2"/>
        </w:numPr>
      </w:pPr>
      <w:r>
        <w:rPr>
          <w:sz w:val="22"/>
          <w:szCs w:val="22"/>
        </w:rPr>
        <w:t xml:space="preserve">Legal notice issued (registered letter + email) on day 30-45</w:t>
      </w:r>
    </w:p>
    <w:p>
      <w:pPr>
        <w:pStyle w:val="Heading3"/>
        <w:spacing w:after="100" w:before="200"/>
      </w:pPr>
      <w:r>
        <w:rPr>
          <w:b/>
          <w:bCs/>
          <w:color w:val="1F4E78"/>
          <w:sz w:val="24"/>
          <w:szCs w:val="24"/>
        </w:rPr>
        <w:t xml:space="preserve">Legal Proceedings (Days 60+):</w:t>
      </w:r>
    </w:p>
    <w:p>
      <w:pPr>
        <w:pStyle w:val="ListParagraph"/>
        <w:numPr>
          <w:ilvl w:val="0"/>
          <w:numId w:val="2"/>
        </w:numPr>
      </w:pPr>
      <w:r>
        <w:rPr>
          <w:sz w:val="22"/>
          <w:szCs w:val="22"/>
        </w:rPr>
        <w:t xml:space="preserve">Suit filing in appropriate court for recovery</w:t>
      </w:r>
    </w:p>
    <w:p>
      <w:pPr>
        <w:pStyle w:val="ListParagraph"/>
        <w:numPr>
          <w:ilvl w:val="0"/>
          <w:numId w:val="2"/>
        </w:numPr>
      </w:pPr>
      <w:r>
        <w:rPr>
          <w:sz w:val="22"/>
          <w:szCs w:val="22"/>
        </w:rPr>
        <w:t xml:space="preserve">Attachment of bank account and other assets</w:t>
      </w:r>
    </w:p>
    <w:p>
      <w:pPr>
        <w:pStyle w:val="ListParagraph"/>
        <w:numPr>
          <w:ilvl w:val="0"/>
          <w:numId w:val="2"/>
        </w:numPr>
      </w:pPr>
      <w:r>
        <w:rPr>
          <w:sz w:val="22"/>
          <w:szCs w:val="22"/>
        </w:rPr>
        <w:t xml:space="preserve">Pursuit of guarantor/co-applicant</w:t>
      </w:r>
    </w:p>
    <w:p>
      <w:pPr>
        <w:pStyle w:val="ListParagraph"/>
        <w:numPr>
          <w:ilvl w:val="0"/>
          <w:numId w:val="2"/>
        </w:numPr>
      </w:pPr>
      <w:r>
        <w:rPr>
          <w:sz w:val="22"/>
          <w:szCs w:val="22"/>
        </w:rPr>
        <w:t xml:space="preserve">Possible transfer to external recovery agency</w:t>
      </w:r>
    </w:p>
    <w:p>
      <w:pPr>
        <w:pStyle w:val="Heading2"/>
        <w:spacing w:after="150" w:before="300"/>
      </w:pPr>
      <w:r>
        <w:rPr>
          <w:b/>
          <w:bCs/>
          <w:color w:val="1F4E78"/>
          <w:sz w:val="28"/>
          <w:szCs w:val="28"/>
        </w:rPr>
        <w:t xml:space="preserve">10.3 CIBIL &amp; Credit Impact</w:t>
      </w:r>
    </w:p>
    <w:p>
      <w:pPr>
        <w:spacing w:after="120" w:line="360"/>
      </w:pPr>
      <w:r>
        <w:rPr>
          <w:b w:val="false"/>
          <w:bCs w:val="false"/>
          <w:sz w:val="22"/>
          <w:szCs w:val="22"/>
        </w:rPr>
        <w:t xml:space="preserve">Default has severe and long-lasting impact on credit:</w:t>
      </w:r>
    </w:p>
    <w:p>
      <w:pPr>
        <w:pStyle w:val="ListParagraph"/>
        <w:numPr>
          <w:ilvl w:val="0"/>
          <w:numId w:val="2"/>
        </w:numPr>
      </w:pPr>
      <w:r>
        <w:rPr>
          <w:sz w:val="22"/>
          <w:szCs w:val="22"/>
        </w:rPr>
        <w:t xml:space="preserve">Payment 30+ days late: Reported to CIBIL immediately</w:t>
      </w:r>
    </w:p>
    <w:p>
      <w:pPr>
        <w:pStyle w:val="ListParagraph"/>
        <w:numPr>
          <w:ilvl w:val="0"/>
          <w:numId w:val="2"/>
        </w:numPr>
      </w:pPr>
      <w:r>
        <w:rPr>
          <w:sz w:val="22"/>
          <w:szCs w:val="22"/>
        </w:rPr>
        <w:t xml:space="preserve">Marks remain on CIBIL for 7 years (even after repayment)</w:t>
      </w:r>
    </w:p>
    <w:p>
      <w:pPr>
        <w:pStyle w:val="ListParagraph"/>
        <w:numPr>
          <w:ilvl w:val="0"/>
          <w:numId w:val="2"/>
        </w:numPr>
      </w:pPr>
      <w:r>
        <w:rPr>
          <w:sz w:val="22"/>
          <w:szCs w:val="22"/>
        </w:rPr>
        <w:t xml:space="preserve">Ruins future borrowing prospects</w:t>
      </w:r>
    </w:p>
    <w:p>
      <w:pPr>
        <w:pStyle w:val="ListParagraph"/>
        <w:numPr>
          <w:ilvl w:val="0"/>
          <w:numId w:val="2"/>
        </w:numPr>
      </w:pPr>
      <w:r>
        <w:rPr>
          <w:sz w:val="22"/>
          <w:szCs w:val="22"/>
        </w:rPr>
        <w:t xml:space="preserve">May affect employment in regulated sectors</w:t>
      </w:r>
    </w:p>
    <w:p>
      <w:pPr>
        <w:pStyle w:val="Heading2"/>
        <w:spacing w:after="150" w:before="300"/>
      </w:pPr>
      <w:r>
        <w:rPr>
          <w:b/>
          <w:bCs/>
          <w:color w:val="1F4E78"/>
          <w:sz w:val="28"/>
          <w:szCs w:val="28"/>
        </w:rPr>
        <w:t xml:space="preserve">10.4 Settlement &amp; Restructuring</w:t>
      </w:r>
    </w:p>
    <w:p>
      <w:pPr>
        <w:spacing w:after="120" w:line="360"/>
      </w:pPr>
      <w:r>
        <w:rPr>
          <w:b w:val="false"/>
          <w:bCs w:val="false"/>
          <w:sz w:val="22"/>
          <w:szCs w:val="22"/>
        </w:rPr>
        <w:t xml:space="preserve">For applicants facing genuine hardship:</w:t>
      </w:r>
    </w:p>
    <w:p>
      <w:pPr>
        <w:pStyle w:val="ListParagraph"/>
        <w:numPr>
          <w:ilvl w:val="0"/>
          <w:numId w:val="2"/>
        </w:numPr>
      </w:pPr>
      <w:r>
        <w:rPr>
          <w:sz w:val="22"/>
          <w:szCs w:val="22"/>
        </w:rPr>
        <w:t xml:space="preserve">Loan Restructuring: Tenure can be extended, reducing monthly EMI</w:t>
      </w:r>
    </w:p>
    <w:p>
      <w:pPr>
        <w:pStyle w:val="ListParagraph"/>
        <w:numPr>
          <w:ilvl w:val="0"/>
          <w:numId w:val="2"/>
        </w:numPr>
      </w:pPr>
      <w:r>
        <w:rPr>
          <w:sz w:val="22"/>
          <w:szCs w:val="22"/>
        </w:rPr>
        <w:t xml:space="preserve">Payment Holiday: 3-6 month moratorium available (interest capitalizes)</w:t>
      </w:r>
    </w:p>
    <w:p>
      <w:pPr>
        <w:pStyle w:val="ListParagraph"/>
        <w:numPr>
          <w:ilvl w:val="0"/>
          <w:numId w:val="2"/>
        </w:numPr>
      </w:pPr>
      <w:r>
        <w:rPr>
          <w:sz w:val="22"/>
          <w:szCs w:val="22"/>
        </w:rPr>
        <w:t xml:space="preserve">Settlement: One-time settlement on overdue amount (with penalty waiver)</w:t>
      </w:r>
    </w:p>
    <w:p>
      <w:pPr>
        <w:pStyle w:val="ListParagraph"/>
        <w:numPr>
          <w:ilvl w:val="0"/>
          <w:numId w:val="2"/>
        </w:numPr>
      </w:pPr>
      <w:r>
        <w:rPr>
          <w:sz w:val="22"/>
          <w:szCs w:val="22"/>
        </w:rPr>
        <w:t xml:space="preserve">Conditions: Only available on good faith application before legal proceedings</w:t>
      </w:r>
    </w:p>
    <w:r>
      <w:br w:type="page"/>
    </w:r>
    <w:p>
      <w:pPr>
        <w:pStyle w:val="Heading1"/>
        <w:spacing w:after="200" w:before="400"/>
      </w:pPr>
      <w:r>
        <w:rPr>
          <w:b/>
          <w:bCs/>
          <w:color w:val="003366"/>
          <w:sz w:val="32"/>
          <w:szCs w:val="32"/>
        </w:rPr>
        <w:t xml:space="preserve">11. Prepayment &amp; Loan Closure</w:t>
      </w:r>
    </w:p>
    <w:p>
      <w:pPr>
        <w:pStyle w:val="Heading2"/>
        <w:spacing w:after="150" w:before="300"/>
      </w:pPr>
      <w:r>
        <w:rPr>
          <w:b/>
          <w:bCs/>
          <w:color w:val="1F4E78"/>
          <w:sz w:val="28"/>
          <w:szCs w:val="28"/>
        </w:rPr>
        <w:t xml:space="preserve">11.1 Full Prepayment</w:t>
      </w:r>
    </w:p>
    <w:p>
      <w:pPr>
        <w:spacing w:after="120" w:line="360"/>
      </w:pPr>
      <w:r>
        <w:rPr>
          <w:b w:val="false"/>
          <w:bCs w:val="false"/>
          <w:sz w:val="22"/>
          <w:szCs w:val="22"/>
        </w:rPr>
        <w:t xml:space="preserve">Applicants can repay the entire outstanding loan amount anytime:</w:t>
      </w:r>
    </w:p>
    <w:p>
      <w:pPr>
        <w:pStyle w:val="ListParagraph"/>
        <w:numPr>
          <w:ilvl w:val="0"/>
          <w:numId w:val="2"/>
        </w:numPr>
      </w:pPr>
      <w:r>
        <w:rPr>
          <w:sz w:val="22"/>
          <w:szCs w:val="22"/>
        </w:rPr>
        <w:t xml:space="preserve">Charges: 0-2% of outstanding principal balance (varies by tenure)</w:t>
      </w:r>
    </w:p>
    <w:p>
      <w:pPr>
        <w:pStyle w:val="ListParagraph"/>
        <w:numPr>
          <w:ilvl w:val="0"/>
          <w:numId w:val="2"/>
        </w:numPr>
      </w:pPr>
      <w:r>
        <w:rPr>
          <w:sz w:val="22"/>
          <w:szCs w:val="22"/>
        </w:rPr>
        <w:t xml:space="preserve">Government Employees: Zero prepayment charges</w:t>
      </w:r>
    </w:p>
    <w:p>
      <w:pPr>
        <w:pStyle w:val="ListParagraph"/>
        <w:numPr>
          <w:ilvl w:val="0"/>
          <w:numId w:val="2"/>
        </w:numPr>
      </w:pPr>
      <w:r>
        <w:rPr>
          <w:sz w:val="22"/>
          <w:szCs w:val="22"/>
        </w:rPr>
        <w:t xml:space="preserve">Notice: 5-7 days advance notice required for large amounts</w:t>
      </w:r>
    </w:p>
    <w:p>
      <w:pPr>
        <w:pStyle w:val="ListParagraph"/>
        <w:numPr>
          <w:ilvl w:val="0"/>
          <w:numId w:val="2"/>
        </w:numPr>
      </w:pPr>
      <w:r>
        <w:rPr>
          <w:sz w:val="22"/>
          <w:szCs w:val="22"/>
        </w:rPr>
        <w:t xml:space="preserve">Processing: Prepayment processed within 1 week; no-dues certificate issued</w:t>
      </w:r>
    </w:p>
    <w:p>
      <w:pPr>
        <w:pStyle w:val="Heading2"/>
        <w:spacing w:after="150" w:before="300"/>
      </w:pPr>
      <w:r>
        <w:rPr>
          <w:b/>
          <w:bCs/>
          <w:color w:val="1F4E78"/>
          <w:sz w:val="28"/>
          <w:szCs w:val="28"/>
        </w:rPr>
        <w:t xml:space="preserve">11.2 Partial Prepayment</w:t>
      </w:r>
    </w:p>
    <w:p>
      <w:pPr>
        <w:spacing w:after="120" w:line="360"/>
      </w:pPr>
      <w:r>
        <w:rPr>
          <w:b w:val="false"/>
          <w:bCs w:val="false"/>
          <w:sz w:val="22"/>
          <w:szCs w:val="22"/>
        </w:rPr>
        <w:t xml:space="preserve">Applicants can make extra payments towards principal:</w:t>
      </w:r>
    </w:p>
    <w:p>
      <w:pPr>
        <w:pStyle w:val="ListParagraph"/>
        <w:numPr>
          <w:ilvl w:val="0"/>
          <w:numId w:val="2"/>
        </w:numPr>
      </w:pPr>
      <w:r>
        <w:rPr>
          <w:sz w:val="22"/>
          <w:szCs w:val="22"/>
        </w:rPr>
        <w:t xml:space="preserve">No charges: Partial prepayment is entirely fee-free</w:t>
      </w:r>
    </w:p>
    <w:p>
      <w:pPr>
        <w:pStyle w:val="ListParagraph"/>
        <w:numPr>
          <w:ilvl w:val="0"/>
          <w:numId w:val="2"/>
        </w:numPr>
      </w:pPr>
      <w:r>
        <w:rPr>
          <w:sz w:val="22"/>
          <w:szCs w:val="22"/>
        </w:rPr>
        <w:t xml:space="preserve">Frequency: Can be done multiple times during tenure</w:t>
      </w:r>
    </w:p>
    <w:p>
      <w:pPr>
        <w:pStyle w:val="ListParagraph"/>
        <w:numPr>
          <w:ilvl w:val="0"/>
          <w:numId w:val="2"/>
        </w:numPr>
      </w:pPr>
      <w:r>
        <w:rPr>
          <w:sz w:val="22"/>
          <w:szCs w:val="22"/>
        </w:rPr>
        <w:t xml:space="preserve">EMI Adjustment: Can reduce future EMI or tenure (applicant's choice)</w:t>
      </w:r>
    </w:p>
    <w:p>
      <w:pPr>
        <w:pStyle w:val="Heading2"/>
        <w:spacing w:after="150" w:before="300"/>
      </w:pPr>
      <w:r>
        <w:rPr>
          <w:b/>
          <w:bCs/>
          <w:color w:val="1F4E78"/>
          <w:sz w:val="28"/>
          <w:szCs w:val="28"/>
        </w:rPr>
        <w:t xml:space="preserve">11.3 Loan Closure Process</w:t>
      </w:r>
    </w:p>
    <w:p>
      <w:pPr>
        <w:spacing w:after="120" w:line="360"/>
      </w:pPr>
      <w:r>
        <w:rPr>
          <w:b w:val="false"/>
          <w:bCs w:val="false"/>
          <w:sz w:val="22"/>
          <w:szCs w:val="22"/>
        </w:rPr>
        <w:t xml:space="preserve">Steps for loan closure:</w:t>
      </w:r>
    </w:p>
    <w:p>
      <w:pPr>
        <w:pStyle w:val="ListParagraph"/>
        <w:numPr>
          <w:ilvl w:val="0"/>
          <w:numId w:val="2"/>
        </w:numPr>
      </w:pPr>
      <w:r>
        <w:rPr>
          <w:sz w:val="22"/>
          <w:szCs w:val="22"/>
        </w:rPr>
        <w:t xml:space="preserve">Step 1: Repay entire outstanding amount</w:t>
      </w:r>
    </w:p>
    <w:p>
      <w:pPr>
        <w:pStyle w:val="ListParagraph"/>
        <w:numPr>
          <w:ilvl w:val="0"/>
          <w:numId w:val="2"/>
        </w:numPr>
      </w:pPr>
      <w:r>
        <w:rPr>
          <w:sz w:val="22"/>
          <w:szCs w:val="22"/>
        </w:rPr>
        <w:t xml:space="preserve">Step 2: Request closure and obtain final statement</w:t>
      </w:r>
    </w:p>
    <w:p>
      <w:pPr>
        <w:pStyle w:val="ListParagraph"/>
        <w:numPr>
          <w:ilvl w:val="0"/>
          <w:numId w:val="2"/>
        </w:numPr>
      </w:pPr>
      <w:r>
        <w:rPr>
          <w:sz w:val="22"/>
          <w:szCs w:val="22"/>
        </w:rPr>
        <w:t xml:space="preserve">Step 3: Receive No-Dues Certificate (issued within 7 days)</w:t>
      </w:r>
    </w:p>
    <w:p>
      <w:pPr>
        <w:pStyle w:val="ListParagraph"/>
        <w:numPr>
          <w:ilvl w:val="0"/>
          <w:numId w:val="2"/>
        </w:numPr>
      </w:pPr>
      <w:r>
        <w:rPr>
          <w:sz w:val="22"/>
          <w:szCs w:val="22"/>
        </w:rPr>
        <w:t xml:space="preserve">Step 4: Loan account marked as closed in bank records</w:t>
      </w:r>
    </w:p>
    <w:r>
      <w:br w:type="page"/>
    </w:r>
    <w:p>
      <w:pPr>
        <w:pStyle w:val="Heading1"/>
        <w:spacing w:after="200" w:before="400"/>
      </w:pPr>
      <w:r>
        <w:rPr>
          <w:b/>
          <w:bCs/>
          <w:color w:val="003366"/>
          <w:sz w:val="32"/>
          <w:szCs w:val="32"/>
        </w:rPr>
        <w:t xml:space="preserve">12. Co-Applicant &amp; Guarantor Policy</w:t>
      </w:r>
    </w:p>
    <w:p>
      <w:pPr>
        <w:pStyle w:val="Heading2"/>
        <w:spacing w:after="150" w:before="300"/>
      </w:pPr>
      <w:r>
        <w:rPr>
          <w:b/>
          <w:bCs/>
          <w:color w:val="1F4E78"/>
          <w:sz w:val="28"/>
          <w:szCs w:val="28"/>
        </w:rPr>
        <w:t xml:space="preserve">12.1 Co-Applicant Eligibility</w:t>
      </w:r>
    </w:p>
    <w:p>
      <w:pPr>
        <w:spacing w:after="120" w:line="360"/>
      </w:pPr>
      <w:r>
        <w:rPr>
          <w:b w:val="false"/>
          <w:bCs w:val="false"/>
          <w:sz w:val="22"/>
          <w:szCs w:val="22"/>
        </w:rPr>
        <w:t xml:space="preserve">A co-applicant's income is added to primary applicant's income:</w:t>
      </w:r>
    </w:p>
    <w:p>
      <w:pPr>
        <w:pStyle w:val="ListParagraph"/>
        <w:numPr>
          <w:ilvl w:val="0"/>
          <w:numId w:val="2"/>
        </w:numPr>
      </w:pPr>
      <w:r>
        <w:rPr>
          <w:sz w:val="22"/>
          <w:szCs w:val="22"/>
        </w:rPr>
        <w:t xml:space="preserve">Spouse: Most common, income fully added</w:t>
      </w:r>
    </w:p>
    <w:p>
      <w:pPr>
        <w:pStyle w:val="ListParagraph"/>
        <w:numPr>
          <w:ilvl w:val="0"/>
          <w:numId w:val="2"/>
        </w:numPr>
      </w:pPr>
      <w:r>
        <w:rPr>
          <w:sz w:val="22"/>
          <w:szCs w:val="22"/>
        </w:rPr>
        <w:t xml:space="preserve">Parent/Child: Allowed if relationship can be proven</w:t>
      </w:r>
    </w:p>
    <w:p>
      <w:pPr>
        <w:pStyle w:val="ListParagraph"/>
        <w:numPr>
          <w:ilvl w:val="0"/>
          <w:numId w:val="2"/>
        </w:numPr>
      </w:pPr>
      <w:r>
        <w:rPr>
          <w:sz w:val="22"/>
          <w:szCs w:val="22"/>
        </w:rPr>
        <w:t xml:space="preserve">Non-family: Not permitted as co-applicant</w:t>
      </w:r>
    </w:p>
    <w:p>
      <w:pPr>
        <w:pStyle w:val="ListParagraph"/>
        <w:numPr>
          <w:ilvl w:val="0"/>
          <w:numId w:val="2"/>
        </w:numPr>
      </w:pPr>
      <w:r>
        <w:rPr>
          <w:sz w:val="22"/>
          <w:szCs w:val="22"/>
        </w:rPr>
        <w:t xml:space="preserve">CIBIL Score: Co-applicant must have minimum CIBIL &gt;= 650</w:t>
      </w:r>
    </w:p>
    <w:p>
      <w:pPr>
        <w:pStyle w:val="Heading2"/>
        <w:spacing w:after="150" w:before="300"/>
      </w:pPr>
      <w:r>
        <w:rPr>
          <w:b/>
          <w:bCs/>
          <w:color w:val="1F4E78"/>
          <w:sz w:val="28"/>
          <w:szCs w:val="28"/>
        </w:rPr>
        <w:t xml:space="preserve">12.2 Co-Applicant Income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Employment Type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Income Percentage</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Conditions</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Notes</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Salaried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100%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Verified salary</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Full DTI check</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Self-Employed</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75-100%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Audited financials</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Conservative</w:t>
            </w:r>
          </w:p>
        </w:tc>
      </w:tr>
      <w:tr>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Homemaker</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0%</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No income</w:t>
            </w:r>
          </w:p>
        </w:tc>
        <w:tc>
          <w:tcPr>
            <w:tcW w:type="dxa" w:w="234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Joint liability only</w:t>
            </w:r>
          </w:p>
        </w:tc>
      </w:tr>
    </w:tbl>
    <w:p>
      <w:pPr>
        <w:pStyle w:val="Heading2"/>
        <w:spacing w:after="150" w:before="300"/>
      </w:pPr>
      <w:r>
        <w:rPr>
          <w:b/>
          <w:bCs/>
          <w:color w:val="1F4E78"/>
          <w:sz w:val="28"/>
          <w:szCs w:val="28"/>
        </w:rPr>
        <w:t xml:space="preserve">12.3 Guarantor Requirements</w:t>
      </w:r>
    </w:p>
    <w:p>
      <w:pPr>
        <w:spacing w:after="120" w:line="360"/>
      </w:pPr>
      <w:r>
        <w:rPr>
          <w:b w:val="false"/>
          <w:bCs w:val="false"/>
          <w:sz w:val="22"/>
          <w:szCs w:val="22"/>
        </w:rPr>
        <w:t xml:space="preserve">Guarantor is required when:</w:t>
      </w:r>
    </w:p>
    <w:p>
      <w:pPr>
        <w:pStyle w:val="ListParagraph"/>
        <w:numPr>
          <w:ilvl w:val="0"/>
          <w:numId w:val="2"/>
        </w:numPr>
      </w:pPr>
      <w:r>
        <w:rPr>
          <w:sz w:val="22"/>
          <w:szCs w:val="22"/>
        </w:rPr>
        <w:t xml:space="preserve">Primary applicant has CIBIL &lt; 650</w:t>
      </w:r>
    </w:p>
    <w:p>
      <w:pPr>
        <w:pStyle w:val="ListParagraph"/>
        <w:numPr>
          <w:ilvl w:val="0"/>
          <w:numId w:val="2"/>
        </w:numPr>
      </w:pPr>
      <w:r>
        <w:rPr>
          <w:sz w:val="22"/>
          <w:szCs w:val="22"/>
        </w:rPr>
        <w:t xml:space="preserve">Applicant's income is just above minimum threshold</w:t>
      </w:r>
    </w:p>
    <w:p>
      <w:pPr>
        <w:pStyle w:val="ListParagraph"/>
        <w:numPr>
          <w:ilvl w:val="0"/>
          <w:numId w:val="2"/>
        </w:numPr>
      </w:pPr>
      <w:r>
        <w:rPr>
          <w:sz w:val="22"/>
          <w:szCs w:val="22"/>
        </w:rPr>
        <w:t xml:space="preserve">Age is close to retirement</w:t>
      </w:r>
    </w:p>
    <w:p>
      <w:pPr>
        <w:spacing w:after="120" w:line="360"/>
      </w:pPr>
      <w:r>
        <w:rPr>
          <w:b w:val="false"/>
          <w:bCs w:val="false"/>
          <w:sz w:val="22"/>
          <w:szCs w:val="22"/>
        </w:rPr>
        <w:t xml:space="preserve">Guarantor eligibility:</w:t>
      </w:r>
    </w:p>
    <w:p>
      <w:pPr>
        <w:pStyle w:val="ListParagraph"/>
        <w:numPr>
          <w:ilvl w:val="0"/>
          <w:numId w:val="2"/>
        </w:numPr>
      </w:pPr>
      <w:r>
        <w:rPr>
          <w:sz w:val="22"/>
          <w:szCs w:val="22"/>
        </w:rPr>
        <w:t xml:space="preserve">Minimum CIBIL score: 700</w:t>
      </w:r>
    </w:p>
    <w:p>
      <w:pPr>
        <w:pStyle w:val="ListParagraph"/>
        <w:numPr>
          <w:ilvl w:val="0"/>
          <w:numId w:val="2"/>
        </w:numPr>
      </w:pPr>
      <w:r>
        <w:rPr>
          <w:sz w:val="22"/>
          <w:szCs w:val="22"/>
        </w:rPr>
        <w:t xml:space="preserve">Independent income: Must have separate verified income</w:t>
      </w:r>
    </w:p>
    <w:p>
      <w:pPr>
        <w:pStyle w:val="ListParagraph"/>
        <w:numPr>
          <w:ilvl w:val="0"/>
          <w:numId w:val="2"/>
        </w:numPr>
      </w:pPr>
      <w:r>
        <w:rPr>
          <w:sz w:val="22"/>
          <w:szCs w:val="22"/>
        </w:rPr>
        <w:t xml:space="preserve">Age: Typically below 70 years</w:t>
      </w:r>
    </w:p>
    <w:p>
      <w:pPr>
        <w:pStyle w:val="ListParagraph"/>
        <w:numPr>
          <w:ilvl w:val="0"/>
          <w:numId w:val="2"/>
        </w:numPr>
      </w:pPr>
      <w:r>
        <w:rPr>
          <w:sz w:val="22"/>
          <w:szCs w:val="22"/>
        </w:rPr>
        <w:t xml:space="preserve">Not a family member: Most banks prefer non-family guarantor</w:t>
      </w:r>
    </w:p>
    <w:p>
      <w:pPr>
        <w:pStyle w:val="ListParagraph"/>
        <w:numPr>
          <w:ilvl w:val="0"/>
          <w:numId w:val="2"/>
        </w:numPr>
      </w:pPr>
      <w:r>
        <w:rPr>
          <w:sz w:val="22"/>
          <w:szCs w:val="22"/>
        </w:rPr>
        <w:t xml:space="preserve">Guarantee deed: Legal document executed by guarantor</w:t>
      </w:r>
    </w:p>
    <w:r>
      <w:br w:type="page"/>
    </w:r>
    <w:p>
      <w:pPr>
        <w:pStyle w:val="Heading1"/>
        <w:spacing w:after="200" w:before="400"/>
      </w:pPr>
      <w:r>
        <w:rPr>
          <w:b/>
          <w:bCs/>
          <w:color w:val="003366"/>
          <w:sz w:val="32"/>
          <w:szCs w:val="32"/>
        </w:rPr>
        <w:t xml:space="preserve">13. Special Loan Schemes &amp; Products</w:t>
      </w:r>
    </w:p>
    <w:p>
      <w:pPr>
        <w:pStyle w:val="Heading2"/>
        <w:spacing w:after="150" w:before="300"/>
      </w:pPr>
      <w:r>
        <w:rPr>
          <w:b/>
          <w:bCs/>
          <w:color w:val="1F4E78"/>
          <w:sz w:val="28"/>
          <w:szCs w:val="28"/>
        </w:rPr>
        <w:t xml:space="preserve">13.1 Debt Consolidation Loan</w:t>
      </w:r>
    </w:p>
    <w:p>
      <w:pPr>
        <w:spacing w:after="120" w:line="360"/>
      </w:pPr>
      <w:r>
        <w:rPr>
          <w:b w:val="false"/>
          <w:bCs w:val="false"/>
          <w:sz w:val="22"/>
          <w:szCs w:val="22"/>
        </w:rPr>
        <w:t xml:space="preserve">For customers with multiple loans:</w:t>
      </w:r>
    </w:p>
    <w:p>
      <w:pPr>
        <w:pStyle w:val="ListParagraph"/>
        <w:numPr>
          <w:ilvl w:val="0"/>
          <w:numId w:val="2"/>
        </w:numPr>
      </w:pPr>
      <w:r>
        <w:rPr>
          <w:sz w:val="22"/>
          <w:szCs w:val="22"/>
        </w:rPr>
        <w:t xml:space="preserve">Purpose: Consolidate high-interest debts into single EMI</w:t>
      </w:r>
    </w:p>
    <w:p>
      <w:pPr>
        <w:pStyle w:val="ListParagraph"/>
        <w:numPr>
          <w:ilvl w:val="0"/>
          <w:numId w:val="2"/>
        </w:numPr>
      </w:pPr>
      <w:r>
        <w:rPr>
          <w:sz w:val="22"/>
          <w:szCs w:val="22"/>
        </w:rPr>
        <w:t xml:space="preserve">Interest Rate: Usually 1-2% higher than regular personal loans</w:t>
      </w:r>
    </w:p>
    <w:p>
      <w:pPr>
        <w:pStyle w:val="ListParagraph"/>
        <w:numPr>
          <w:ilvl w:val="0"/>
          <w:numId w:val="2"/>
        </w:numPr>
      </w:pPr>
      <w:r>
        <w:rPr>
          <w:sz w:val="22"/>
          <w:szCs w:val="22"/>
        </w:rPr>
        <w:t xml:space="preserve">Tenure: Up to 84 months</w:t>
      </w:r>
    </w:p>
    <w:p>
      <w:pPr>
        <w:pStyle w:val="ListParagraph"/>
        <w:numPr>
          <w:ilvl w:val="0"/>
          <w:numId w:val="2"/>
        </w:numPr>
      </w:pPr>
      <w:r>
        <w:rPr>
          <w:sz w:val="22"/>
          <w:szCs w:val="22"/>
        </w:rPr>
        <w:t xml:space="preserve">Loan Amount: Sum of all existing outstanding debts</w:t>
      </w:r>
    </w:p>
    <w:p>
      <w:pPr>
        <w:pStyle w:val="ListParagraph"/>
        <w:numPr>
          <w:ilvl w:val="0"/>
          <w:numId w:val="2"/>
        </w:numPr>
      </w:pPr>
      <w:r>
        <w:rPr>
          <w:sz w:val="22"/>
          <w:szCs w:val="22"/>
        </w:rPr>
        <w:t xml:space="preserve">Conditions: Must clear existing loans with this disbursement</w:t>
      </w:r>
    </w:p>
    <w:p>
      <w:pPr>
        <w:pStyle w:val="Heading2"/>
        <w:spacing w:after="150" w:before="300"/>
      </w:pPr>
      <w:r>
        <w:rPr>
          <w:b/>
          <w:bCs/>
          <w:color w:val="1F4E78"/>
          <w:sz w:val="28"/>
          <w:szCs w:val="28"/>
        </w:rPr>
        <w:t xml:space="preserve">13.2 Balance Transfer Loan</w:t>
      </w:r>
    </w:p>
    <w:p>
      <w:pPr>
        <w:spacing w:after="120" w:line="360"/>
      </w:pPr>
      <w:r>
        <w:rPr>
          <w:b w:val="false"/>
          <w:bCs w:val="false"/>
          <w:sz w:val="22"/>
          <w:szCs w:val="22"/>
        </w:rPr>
        <w:t xml:space="preserve">For customers with existing personal loans:</w:t>
      </w:r>
    </w:p>
    <w:p>
      <w:pPr>
        <w:pStyle w:val="ListParagraph"/>
        <w:numPr>
          <w:ilvl w:val="0"/>
          <w:numId w:val="2"/>
        </w:numPr>
      </w:pPr>
      <w:r>
        <w:rPr>
          <w:sz w:val="22"/>
          <w:szCs w:val="22"/>
        </w:rPr>
        <w:t xml:space="preserve">Purpose: Refinance existing loan at better terms</w:t>
      </w:r>
    </w:p>
    <w:p>
      <w:pPr>
        <w:pStyle w:val="ListParagraph"/>
        <w:numPr>
          <w:ilvl w:val="0"/>
          <w:numId w:val="2"/>
        </w:numPr>
      </w:pPr>
      <w:r>
        <w:rPr>
          <w:sz w:val="22"/>
          <w:szCs w:val="22"/>
        </w:rPr>
        <w:t xml:space="preserve">Eligibility: Good payment history with current lender</w:t>
      </w:r>
    </w:p>
    <w:p>
      <w:pPr>
        <w:pStyle w:val="ListParagraph"/>
        <w:numPr>
          <w:ilvl w:val="0"/>
          <w:numId w:val="2"/>
        </w:numPr>
      </w:pPr>
      <w:r>
        <w:rPr>
          <w:sz w:val="22"/>
          <w:szCs w:val="22"/>
        </w:rPr>
        <w:t xml:space="preserve">Rate Benefit: 0.50-1.00% reduction if CIBIL improved</w:t>
      </w:r>
    </w:p>
    <w:p>
      <w:pPr>
        <w:pStyle w:val="ListParagraph"/>
        <w:numPr>
          <w:ilvl w:val="0"/>
          <w:numId w:val="2"/>
        </w:numPr>
      </w:pPr>
      <w:r>
        <w:rPr>
          <w:sz w:val="22"/>
          <w:szCs w:val="22"/>
        </w:rPr>
        <w:t xml:space="preserve">Tenure: Can be renegotiated</w:t>
      </w:r>
    </w:p>
    <w:p>
      <w:pPr>
        <w:pStyle w:val="Heading2"/>
        <w:spacing w:after="150" w:before="300"/>
      </w:pPr>
      <w:r>
        <w:rPr>
          <w:b/>
          <w:bCs/>
          <w:color w:val="1F4E78"/>
          <w:sz w:val="28"/>
          <w:szCs w:val="28"/>
        </w:rPr>
        <w:t xml:space="preserve">13.3 Women-Specific Loan Scheme</w:t>
      </w:r>
    </w:p>
    <w:p>
      <w:pPr>
        <w:spacing w:after="120" w:line="360"/>
      </w:pPr>
      <w:r>
        <w:rPr>
          <w:b w:val="false"/>
          <w:bCs w:val="false"/>
          <w:sz w:val="22"/>
          <w:szCs w:val="22"/>
        </w:rPr>
        <w:t xml:space="preserve">Special terms for female applicants:</w:t>
      </w:r>
    </w:p>
    <w:p>
      <w:pPr>
        <w:pStyle w:val="ListParagraph"/>
        <w:numPr>
          <w:ilvl w:val="0"/>
          <w:numId w:val="2"/>
        </w:numPr>
      </w:pPr>
      <w:r>
        <w:rPr>
          <w:sz w:val="22"/>
          <w:szCs w:val="22"/>
        </w:rPr>
        <w:t xml:space="preserve">Interest Rate: 0.25-0.50% discount on rates</w:t>
      </w:r>
    </w:p>
    <w:p>
      <w:pPr>
        <w:pStyle w:val="ListParagraph"/>
        <w:numPr>
          <w:ilvl w:val="0"/>
          <w:numId w:val="2"/>
        </w:numPr>
      </w:pPr>
      <w:r>
        <w:rPr>
          <w:sz w:val="22"/>
          <w:szCs w:val="22"/>
        </w:rPr>
        <w:t xml:space="preserve">Processing Fee: Waived or reduced</w:t>
      </w:r>
    </w:p>
    <w:p>
      <w:pPr>
        <w:pStyle w:val="ListParagraph"/>
        <w:numPr>
          <w:ilvl w:val="0"/>
          <w:numId w:val="2"/>
        </w:numPr>
      </w:pPr>
      <w:r>
        <w:rPr>
          <w:sz w:val="22"/>
          <w:szCs w:val="22"/>
        </w:rPr>
        <w:t xml:space="preserve">Higher Limits: Up to 40% higher loan amounts</w:t>
      </w:r>
    </w:p>
    <w:p>
      <w:pPr>
        <w:pStyle w:val="ListParagraph"/>
        <w:numPr>
          <w:ilvl w:val="0"/>
          <w:numId w:val="2"/>
        </w:numPr>
      </w:pPr>
      <w:r>
        <w:rPr>
          <w:sz w:val="22"/>
          <w:szCs w:val="22"/>
        </w:rPr>
        <w:t xml:space="preserve">Relaxed Documentation: Flexible for home makers/self-employed</w:t>
      </w:r>
    </w:p>
    <w:p>
      <w:pPr>
        <w:pStyle w:val="Heading2"/>
        <w:spacing w:after="150" w:before="300"/>
      </w:pPr>
      <w:r>
        <w:rPr>
          <w:b/>
          <w:bCs/>
          <w:color w:val="1F4E78"/>
          <w:sz w:val="28"/>
          <w:szCs w:val="28"/>
        </w:rPr>
        <w:t xml:space="preserve">13.4 Senior Citizen Scheme</w:t>
      </w:r>
    </w:p>
    <w:p>
      <w:pPr>
        <w:spacing w:after="120" w:line="360"/>
      </w:pPr>
      <w:r>
        <w:rPr>
          <w:b w:val="false"/>
          <w:bCs w:val="false"/>
          <w:sz w:val="22"/>
          <w:szCs w:val="22"/>
        </w:rPr>
        <w:t xml:space="preserve">For applicants aged 55+:</w:t>
      </w:r>
    </w:p>
    <w:p>
      <w:pPr>
        <w:pStyle w:val="ListParagraph"/>
        <w:numPr>
          <w:ilvl w:val="0"/>
          <w:numId w:val="2"/>
        </w:numPr>
      </w:pPr>
      <w:r>
        <w:rPr>
          <w:sz w:val="22"/>
          <w:szCs w:val="22"/>
        </w:rPr>
        <w:t xml:space="preserve">Age Limit: Extended up to 70 years at maturity</w:t>
      </w:r>
    </w:p>
    <w:p>
      <w:pPr>
        <w:pStyle w:val="ListParagraph"/>
        <w:numPr>
          <w:ilvl w:val="0"/>
          <w:numId w:val="2"/>
        </w:numPr>
      </w:pPr>
      <w:r>
        <w:rPr>
          <w:sz w:val="22"/>
          <w:szCs w:val="22"/>
        </w:rPr>
        <w:t xml:space="preserve">Income Requirements: Lower minimum income</w:t>
      </w:r>
    </w:p>
    <w:p>
      <w:pPr>
        <w:pStyle w:val="ListParagraph"/>
        <w:numPr>
          <w:ilvl w:val="0"/>
          <w:numId w:val="2"/>
        </w:numPr>
      </w:pPr>
      <w:r>
        <w:rPr>
          <w:sz w:val="22"/>
          <w:szCs w:val="22"/>
        </w:rPr>
        <w:t xml:space="preserve">Interest Rate: 0.50% discount</w:t>
      </w:r>
    </w:p>
    <w:p>
      <w:pPr>
        <w:pStyle w:val="ListParagraph"/>
        <w:numPr>
          <w:ilvl w:val="0"/>
          <w:numId w:val="2"/>
        </w:numPr>
      </w:pPr>
      <w:r>
        <w:rPr>
          <w:sz w:val="22"/>
          <w:szCs w:val="22"/>
        </w:rPr>
        <w:t xml:space="preserve">Tenure: Shorter tenure options (24-36 months)</w:t>
      </w:r>
    </w:p>
    <w:r>
      <w:br w:type="page"/>
    </w:r>
    <w:p>
      <w:pPr>
        <w:pStyle w:val="Heading1"/>
        <w:spacing w:after="200" w:before="400"/>
      </w:pPr>
      <w:r>
        <w:rPr>
          <w:b/>
          <w:bCs/>
          <w:color w:val="003366"/>
          <w:sz w:val="32"/>
          <w:szCs w:val="32"/>
        </w:rPr>
        <w:t xml:space="preserve">14. RBI Compliance &amp; Legal Clauses</w:t>
      </w:r>
    </w:p>
    <w:p>
      <w:pPr>
        <w:pStyle w:val="Heading2"/>
        <w:spacing w:after="150" w:before="300"/>
      </w:pPr>
      <w:r>
        <w:rPr>
          <w:b/>
          <w:bCs/>
          <w:color w:val="1F4E78"/>
          <w:sz w:val="28"/>
          <w:szCs w:val="28"/>
        </w:rPr>
        <w:t xml:space="preserve">14.1 Fair Lending Practices</w:t>
      </w:r>
    </w:p>
    <w:p>
      <w:pPr>
        <w:spacing w:after="120" w:line="360"/>
      </w:pPr>
      <w:r>
        <w:rPr>
          <w:b w:val="false"/>
          <w:bCs w:val="false"/>
          <w:sz w:val="22"/>
          <w:szCs w:val="22"/>
        </w:rPr>
        <w:t xml:space="preserve">The bank commits to fair lending in compliance with RBI guidelines:</w:t>
      </w:r>
    </w:p>
    <w:p>
      <w:pPr>
        <w:pStyle w:val="ListParagraph"/>
        <w:numPr>
          <w:ilvl w:val="0"/>
          <w:numId w:val="2"/>
        </w:numPr>
      </w:pPr>
      <w:r>
        <w:rPr>
          <w:sz w:val="22"/>
          <w:szCs w:val="22"/>
        </w:rPr>
        <w:t xml:space="preserve">No Discrimination: Cannot discriminate based on religion, caste, gender, marital status</w:t>
      </w:r>
    </w:p>
    <w:p>
      <w:pPr>
        <w:pStyle w:val="ListParagraph"/>
        <w:numPr>
          <w:ilvl w:val="0"/>
          <w:numId w:val="2"/>
        </w:numPr>
      </w:pPr>
      <w:r>
        <w:rPr>
          <w:sz w:val="22"/>
          <w:szCs w:val="22"/>
        </w:rPr>
        <w:t xml:space="preserve">Transparency: All terms, conditions, and charges disclosed upfront</w:t>
      </w:r>
    </w:p>
    <w:p>
      <w:pPr>
        <w:pStyle w:val="ListParagraph"/>
        <w:numPr>
          <w:ilvl w:val="0"/>
          <w:numId w:val="2"/>
        </w:numPr>
      </w:pPr>
      <w:r>
        <w:rPr>
          <w:sz w:val="22"/>
          <w:szCs w:val="22"/>
        </w:rPr>
        <w:t xml:space="preserve">Grievance Mechanism: Formal channel for complaint and redressal</w:t>
      </w:r>
    </w:p>
    <w:p>
      <w:pPr>
        <w:pStyle w:val="ListParagraph"/>
        <w:numPr>
          <w:ilvl w:val="0"/>
          <w:numId w:val="2"/>
        </w:numPr>
      </w:pPr>
      <w:r>
        <w:rPr>
          <w:sz w:val="22"/>
          <w:szCs w:val="22"/>
        </w:rPr>
        <w:t xml:space="preserve">Regulatory Oversight: All lending decisions subject to RBI audit and oversight</w:t>
      </w:r>
    </w:p>
    <w:p>
      <w:pPr>
        <w:pStyle w:val="Heading2"/>
        <w:spacing w:after="150" w:before="300"/>
      </w:pPr>
      <w:r>
        <w:rPr>
          <w:b/>
          <w:bCs/>
          <w:color w:val="1F4E78"/>
          <w:sz w:val="28"/>
          <w:szCs w:val="28"/>
        </w:rPr>
        <w:t xml:space="preserve">14.2 Know Your Customer (KYC)</w:t>
      </w:r>
    </w:p>
    <w:p>
      <w:pPr>
        <w:spacing w:after="120" w:line="360"/>
      </w:pPr>
      <w:r>
        <w:rPr>
          <w:b w:val="false"/>
          <w:bCs w:val="false"/>
          <w:sz w:val="22"/>
          <w:szCs w:val="22"/>
        </w:rPr>
        <w:t xml:space="preserve">All applicants must comply with KYC norms:</w:t>
      </w:r>
    </w:p>
    <w:p>
      <w:pPr>
        <w:pStyle w:val="ListParagraph"/>
        <w:numPr>
          <w:ilvl w:val="0"/>
          <w:numId w:val="2"/>
        </w:numPr>
      </w:pPr>
      <w:r>
        <w:rPr>
          <w:sz w:val="22"/>
          <w:szCs w:val="22"/>
        </w:rPr>
        <w:t xml:space="preserve">PAN is mandatory (except for certain NRI categories)</w:t>
      </w:r>
    </w:p>
    <w:p>
      <w:pPr>
        <w:pStyle w:val="ListParagraph"/>
        <w:numPr>
          <w:ilvl w:val="0"/>
          <w:numId w:val="2"/>
        </w:numPr>
      </w:pPr>
      <w:r>
        <w:rPr>
          <w:sz w:val="22"/>
          <w:szCs w:val="22"/>
        </w:rPr>
        <w:t xml:space="preserve">Identity and address verification mandatory</w:t>
      </w:r>
    </w:p>
    <w:p>
      <w:pPr>
        <w:pStyle w:val="ListParagraph"/>
        <w:numPr>
          <w:ilvl w:val="0"/>
          <w:numId w:val="2"/>
        </w:numPr>
      </w:pPr>
      <w:r>
        <w:rPr>
          <w:sz w:val="22"/>
          <w:szCs w:val="22"/>
        </w:rPr>
        <w:t xml:space="preserve">Source of funds verification required</w:t>
      </w:r>
    </w:p>
    <w:p>
      <w:pPr>
        <w:pStyle w:val="ListParagraph"/>
        <w:numPr>
          <w:ilvl w:val="0"/>
          <w:numId w:val="2"/>
        </w:numPr>
      </w:pPr>
      <w:r>
        <w:rPr>
          <w:sz w:val="22"/>
          <w:szCs w:val="22"/>
        </w:rPr>
        <w:t xml:space="preserve">Information confidentiality: Bank maintains strictest confidentiality</w:t>
      </w:r>
    </w:p>
    <w:p>
      <w:pPr>
        <w:pStyle w:val="Heading2"/>
        <w:spacing w:after="150" w:before="300"/>
      </w:pPr>
      <w:r>
        <w:rPr>
          <w:b/>
          <w:bCs/>
          <w:color w:val="1F4E78"/>
          <w:sz w:val="28"/>
          <w:szCs w:val="28"/>
        </w:rPr>
        <w:t xml:space="preserve">14.3 Grievance Redressal Framework</w:t>
      </w:r>
    </w:p>
    <w:p>
      <w:pPr>
        <w:spacing w:after="120" w:line="360"/>
      </w:pPr>
      <w:r>
        <w:rPr>
          <w:b w:val="false"/>
          <w:bCs w:val="false"/>
          <w:sz w:val="22"/>
          <w:szCs w:val="22"/>
        </w:rPr>
        <w:t xml:space="preserve">In case of grievance, applicants can escalate to:</w:t>
      </w:r>
    </w:p>
    <w:p>
      <w:pPr>
        <w:pStyle w:val="ListParagraph"/>
        <w:numPr>
          <w:ilvl w:val="0"/>
          <w:numId w:val="2"/>
        </w:numPr>
      </w:pPr>
      <w:r>
        <w:rPr>
          <w:sz w:val="22"/>
          <w:szCs w:val="22"/>
        </w:rPr>
        <w:t xml:space="preserve">Branch Manager: First level grievance redressal (5-7 days)</w:t>
      </w:r>
    </w:p>
    <w:p>
      <w:pPr>
        <w:pStyle w:val="ListParagraph"/>
        <w:numPr>
          <w:ilvl w:val="0"/>
          <w:numId w:val="2"/>
        </w:numPr>
      </w:pPr>
      <w:r>
        <w:rPr>
          <w:sz w:val="22"/>
          <w:szCs w:val="22"/>
        </w:rPr>
        <w:t xml:space="preserve">Regional Head: Second level (10-15 days)</w:t>
      </w:r>
    </w:p>
    <w:p>
      <w:pPr>
        <w:pStyle w:val="ListParagraph"/>
        <w:numPr>
          <w:ilvl w:val="0"/>
          <w:numId w:val="2"/>
        </w:numPr>
      </w:pPr>
      <w:r>
        <w:rPr>
          <w:sz w:val="22"/>
          <w:szCs w:val="22"/>
        </w:rPr>
        <w:t xml:space="preserve">General Manager - Customer Service: Third level (15-30 days)</w:t>
      </w:r>
    </w:p>
    <w:p>
      <w:pPr>
        <w:pStyle w:val="ListParagraph"/>
        <w:numPr>
          <w:ilvl w:val="0"/>
          <w:numId w:val="2"/>
        </w:numPr>
      </w:pPr>
      <w:r>
        <w:rPr>
          <w:sz w:val="22"/>
          <w:szCs w:val="22"/>
        </w:rPr>
        <w:t xml:space="preserve">RBI Ombudsman: If unresolved by bank (statutory authority)</w:t>
      </w:r>
    </w:p>
    <w:p>
      <w:pPr>
        <w:pStyle w:val="Heading2"/>
        <w:spacing w:after="150" w:before="300"/>
      </w:pPr>
      <w:r>
        <w:rPr>
          <w:b/>
          <w:bCs/>
          <w:color w:val="1F4E78"/>
          <w:sz w:val="28"/>
          <w:szCs w:val="28"/>
        </w:rPr>
        <w:t xml:space="preserve">14.4 Information Security &amp; Privacy</w:t>
      </w:r>
    </w:p>
    <w:p>
      <w:pPr>
        <w:spacing w:after="120" w:line="360"/>
      </w:pPr>
      <w:r>
        <w:rPr>
          <w:b w:val="false"/>
          <w:bCs w:val="false"/>
          <w:sz w:val="22"/>
          <w:szCs w:val="22"/>
        </w:rPr>
        <w:t xml:space="preserve">The bank protects customer information:</w:t>
      </w:r>
    </w:p>
    <w:p>
      <w:pPr>
        <w:pStyle w:val="ListParagraph"/>
        <w:numPr>
          <w:ilvl w:val="0"/>
          <w:numId w:val="2"/>
        </w:numPr>
      </w:pPr>
      <w:r>
        <w:rPr>
          <w:sz w:val="22"/>
          <w:szCs w:val="22"/>
        </w:rPr>
        <w:t xml:space="preserve">Personal data shared only with regulatory authorities and required parties</w:t>
      </w:r>
    </w:p>
    <w:p>
      <w:pPr>
        <w:pStyle w:val="ListParagraph"/>
        <w:numPr>
          <w:ilvl w:val="0"/>
          <w:numId w:val="2"/>
        </w:numPr>
      </w:pPr>
      <w:r>
        <w:rPr>
          <w:sz w:val="22"/>
          <w:szCs w:val="22"/>
        </w:rPr>
        <w:t xml:space="preserve">CIBIL inquiry made only with explicit customer consent</w:t>
      </w:r>
    </w:p>
    <w:p>
      <w:pPr>
        <w:pStyle w:val="ListParagraph"/>
        <w:numPr>
          <w:ilvl w:val="0"/>
          <w:numId w:val="2"/>
        </w:numPr>
      </w:pPr>
      <w:r>
        <w:rPr>
          <w:sz w:val="22"/>
          <w:szCs w:val="22"/>
        </w:rPr>
        <w:t xml:space="preserve">Data protection in compliance with banking regulations</w:t>
      </w:r>
    </w:p>
    <w:r>
      <w:br w:type="page"/>
    </w:r>
    <w:p>
      <w:pPr>
        <w:pStyle w:val="Heading1"/>
        <w:spacing w:after="200" w:before="400"/>
      </w:pPr>
      <w:r>
        <w:rPr>
          <w:b/>
          <w:bCs/>
          <w:color w:val="003366"/>
          <w:sz w:val="32"/>
          <w:szCs w:val="32"/>
        </w:rPr>
        <w:t xml:space="preserve">15. Grievance Redressal &amp; Dispute Resolution</w:t>
      </w:r>
    </w:p>
    <w:p>
      <w:pPr>
        <w:pStyle w:val="Heading2"/>
        <w:spacing w:after="150" w:before="300"/>
      </w:pPr>
      <w:r>
        <w:rPr>
          <w:b/>
          <w:bCs/>
          <w:color w:val="1F4E78"/>
          <w:sz w:val="28"/>
          <w:szCs w:val="28"/>
        </w:rPr>
        <w:t xml:space="preserve">15.1 Complaint Channels</w:t>
      </w:r>
    </w:p>
    <w:p>
      <w:pPr>
        <w:spacing w:after="120" w:line="360"/>
      </w:pPr>
      <w:r>
        <w:rPr>
          <w:b w:val="false"/>
          <w:bCs w:val="false"/>
          <w:sz w:val="22"/>
          <w:szCs w:val="22"/>
        </w:rPr>
        <w:t xml:space="preserve">Customers can lodge complaints through:</w:t>
      </w:r>
    </w:p>
    <w:p>
      <w:pPr>
        <w:pStyle w:val="ListParagraph"/>
        <w:numPr>
          <w:ilvl w:val="0"/>
          <w:numId w:val="2"/>
        </w:numPr>
      </w:pPr>
      <w:r>
        <w:rPr>
          <w:sz w:val="22"/>
          <w:szCs w:val="22"/>
        </w:rPr>
        <w:t xml:space="preserve">Branch in person</w:t>
      </w:r>
    </w:p>
    <w:p>
      <w:pPr>
        <w:pStyle w:val="ListParagraph"/>
        <w:numPr>
          <w:ilvl w:val="0"/>
          <w:numId w:val="2"/>
        </w:numPr>
      </w:pPr>
      <w:r>
        <w:rPr>
          <w:sz w:val="22"/>
          <w:szCs w:val="22"/>
        </w:rPr>
        <w:t xml:space="preserve">Email: complaints@fintechbank.com</w:t>
      </w:r>
    </w:p>
    <w:p>
      <w:pPr>
        <w:pStyle w:val="ListParagraph"/>
        <w:numPr>
          <w:ilvl w:val="0"/>
          <w:numId w:val="2"/>
        </w:numPr>
      </w:pPr>
      <w:r>
        <w:rPr>
          <w:sz w:val="22"/>
          <w:szCs w:val="22"/>
        </w:rPr>
        <w:t xml:space="preserve">Phone: 1800-BANK-LOAN (toll-free)</w:t>
      </w:r>
    </w:p>
    <w:p>
      <w:pPr>
        <w:pStyle w:val="ListParagraph"/>
        <w:numPr>
          <w:ilvl w:val="0"/>
          <w:numId w:val="2"/>
        </w:numPr>
      </w:pPr>
      <w:r>
        <w:rPr>
          <w:sz w:val="22"/>
          <w:szCs w:val="22"/>
        </w:rPr>
        <w:t xml:space="preserve">Online portal: www.fintechbank.com/complaints</w:t>
      </w:r>
    </w:p>
    <w:p>
      <w:pPr>
        <w:pStyle w:val="ListParagraph"/>
        <w:numPr>
          <w:ilvl w:val="0"/>
          <w:numId w:val="2"/>
        </w:numPr>
      </w:pPr>
      <w:r>
        <w:rPr>
          <w:sz w:val="22"/>
          <w:szCs w:val="22"/>
        </w:rPr>
        <w:t xml:space="preserve">RBI Ombudsman (if unresolved)</w:t>
      </w:r>
    </w:p>
    <w:p>
      <w:pPr>
        <w:pStyle w:val="Heading2"/>
        <w:spacing w:after="150" w:before="300"/>
      </w:pPr>
      <w:r>
        <w:rPr>
          <w:b/>
          <w:bCs/>
          <w:color w:val="1F4E78"/>
          <w:sz w:val="28"/>
          <w:szCs w:val="28"/>
        </w:rPr>
        <w:t xml:space="preserve">15.2 Resolution Timeline</w:t>
      </w:r>
    </w:p>
    <w:p>
      <w:pPr>
        <w:spacing w:after="120" w:line="360"/>
      </w:pPr>
      <w:r>
        <w:rPr>
          <w:b w:val="false"/>
          <w:bCs w:val="false"/>
          <w:sz w:val="22"/>
          <w:szCs w:val="22"/>
        </w:rPr>
        <w:t xml:space="preserve">Complaint resolution timeline as per RBI guidelines:</w:t>
      </w:r>
    </w:p>
    <w:p>
      <w:pPr>
        <w:pStyle w:val="ListParagraph"/>
        <w:numPr>
          <w:ilvl w:val="0"/>
          <w:numId w:val="2"/>
        </w:numPr>
      </w:pPr>
      <w:r>
        <w:rPr>
          <w:sz w:val="22"/>
          <w:szCs w:val="22"/>
        </w:rPr>
        <w:t xml:space="preserve">Complaint Acknowledgment: Within 1 day of receipt</w:t>
      </w:r>
    </w:p>
    <w:p>
      <w:pPr>
        <w:pStyle w:val="ListParagraph"/>
        <w:numPr>
          <w:ilvl w:val="0"/>
          <w:numId w:val="2"/>
        </w:numPr>
      </w:pPr>
      <w:r>
        <w:rPr>
          <w:sz w:val="22"/>
          <w:szCs w:val="22"/>
        </w:rPr>
        <w:t xml:space="preserve">Resolution Attempt: Within 5-7 days</w:t>
      </w:r>
    </w:p>
    <w:p>
      <w:pPr>
        <w:pStyle w:val="ListParagraph"/>
        <w:numPr>
          <w:ilvl w:val="0"/>
          <w:numId w:val="2"/>
        </w:numPr>
      </w:pPr>
      <w:r>
        <w:rPr>
          <w:sz w:val="22"/>
          <w:szCs w:val="22"/>
        </w:rPr>
        <w:t xml:space="preserve">Final Resolution: Within 30 days for general complaints</w:t>
      </w:r>
    </w:p>
    <w:p>
      <w:pPr>
        <w:pStyle w:val="ListParagraph"/>
        <w:numPr>
          <w:ilvl w:val="0"/>
          <w:numId w:val="2"/>
        </w:numPr>
      </w:pPr>
      <w:r>
        <w:rPr>
          <w:sz w:val="22"/>
          <w:szCs w:val="22"/>
        </w:rPr>
        <w:t xml:space="preserve">Complex Complaints: Extended to 60 days if investigation required</w:t>
      </w:r>
    </w:p>
    <w:p>
      <w:pPr>
        <w:pStyle w:val="Heading2"/>
        <w:spacing w:after="150" w:before="300"/>
      </w:pPr>
      <w:r>
        <w:rPr>
          <w:b/>
          <w:bCs/>
          <w:color w:val="1F4E78"/>
          <w:sz w:val="28"/>
          <w:szCs w:val="28"/>
        </w:rPr>
        <w:t xml:space="preserve">15.3 Applicant's Right to Appeal</w:t>
      </w:r>
    </w:p>
    <w:p>
      <w:pPr>
        <w:spacing w:after="120" w:line="360"/>
      </w:pPr>
      <w:r>
        <w:rPr>
          <w:b w:val="false"/>
          <w:bCs w:val="false"/>
          <w:sz w:val="22"/>
          <w:szCs w:val="22"/>
        </w:rPr>
        <w:t xml:space="preserve">In case of loan rejection:</w:t>
      </w:r>
    </w:p>
    <w:p>
      <w:pPr>
        <w:pStyle w:val="ListParagraph"/>
        <w:numPr>
          <w:ilvl w:val="0"/>
          <w:numId w:val="2"/>
        </w:numPr>
      </w:pPr>
      <w:r>
        <w:rPr>
          <w:sz w:val="22"/>
          <w:szCs w:val="22"/>
        </w:rPr>
        <w:t xml:space="preserve">Applicant has right to know rejection reasons</w:t>
      </w:r>
    </w:p>
    <w:p>
      <w:pPr>
        <w:pStyle w:val="ListParagraph"/>
        <w:numPr>
          <w:ilvl w:val="0"/>
          <w:numId w:val="2"/>
        </w:numPr>
      </w:pPr>
      <w:r>
        <w:rPr>
          <w:sz w:val="22"/>
          <w:szCs w:val="22"/>
        </w:rPr>
        <w:t xml:space="preserve">Can appeal within 30 days of rejection</w:t>
      </w:r>
    </w:p>
    <w:p>
      <w:pPr>
        <w:pStyle w:val="ListParagraph"/>
        <w:numPr>
          <w:ilvl w:val="0"/>
          <w:numId w:val="2"/>
        </w:numPr>
      </w:pPr>
      <w:r>
        <w:rPr>
          <w:sz w:val="22"/>
          <w:szCs w:val="22"/>
        </w:rPr>
        <w:t xml:space="preserve">Senior management review available</w:t>
      </w:r>
    </w:p>
    <w:p>
      <w:pPr>
        <w:pStyle w:val="ListParagraph"/>
        <w:numPr>
          <w:ilvl w:val="0"/>
          <w:numId w:val="2"/>
        </w:numPr>
      </w:pPr>
      <w:r>
        <w:rPr>
          <w:sz w:val="22"/>
          <w:szCs w:val="22"/>
        </w:rPr>
        <w:t xml:space="preserve">RBI Ombudsman can be approached if not satisfied</w:t>
      </w:r>
    </w:p>
    <w:r>
      <w:br w:type="page"/>
    </w:r>
    <w:p>
      <w:pPr>
        <w:pStyle w:val="Heading1"/>
        <w:spacing w:after="200" w:before="400"/>
      </w:pPr>
      <w:r>
        <w:rPr>
          <w:b/>
          <w:bCs/>
          <w:color w:val="003366"/>
          <w:sz w:val="32"/>
          <w:szCs w:val="32"/>
        </w:rPr>
        <w:t xml:space="preserve">16. Appendices</w:t>
      </w:r>
    </w:p>
    <w:p>
      <w:pPr>
        <w:pStyle w:val="Heading2"/>
        <w:spacing w:after="150" w:before="300"/>
      </w:pPr>
      <w:r>
        <w:rPr>
          <w:b/>
          <w:bCs/>
          <w:color w:val="1F4E78"/>
          <w:sz w:val="28"/>
          <w:szCs w:val="28"/>
        </w:rPr>
        <w:t xml:space="preserve">16.1 Appendix A: Document Checklist</w:t>
      </w:r>
    </w:p>
    <w:p>
      <w:pPr>
        <w:spacing w:after="120" w:line="360"/>
      </w:pPr>
      <w:r>
        <w:rPr>
          <w:b w:val="false"/>
          <w:bCs w:val="false"/>
          <w:sz w:val="22"/>
          <w:szCs w:val="22"/>
        </w:rPr>
        <w:t xml:space="preserve">Use this checklist for application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Document</w:t>
            </w:r>
          </w:p>
        </w:tc>
        <w:tc>
          <w:tcPr>
            <w:tcBorders>
              <w:top w:val="single" w:color="000000" w:sz="6"/>
              <w:left w:val="single" w:color="000000" w:sz="6"/>
              <w:bottom w:val="single" w:color="003366" w:sz="12"/>
              <w:right w:val="single" w:color="000000" w:sz="6"/>
            </w:tcBorders>
            <w:shd w:fill="003366" w:val="clear"/>
            <w:tcMar>
              <w:top w:type="dxa" w:w="100"/>
              <w:left w:type="dxa" w:w="100"/>
              <w:bottom w:type="dxa" w:w="100"/>
              <w:right w:type="dxa" w:w="100"/>
            </w:tcMar>
          </w:tcPr>
          <w:p>
            <w:pPr>
              <w:jc w:val="center"/>
            </w:pPr>
            <w:r>
              <w:rPr>
                <w:b/>
                <w:bCs/>
                <w:color w:val="FFFFFF"/>
                <w:sz w:val="22"/>
                <w:szCs w:val="22"/>
              </w:rPr>
              <w:t xml:space="preserve">Salaried</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Aadhar Card</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PAN Card</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Salary Slip (3 months)</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Form 16 (2 years)</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Bank Statement (6 months)</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Employment Letter</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r>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left"/>
            </w:pPr>
            <w:r>
              <w:rPr>
                <w:sz w:val="22"/>
                <w:szCs w:val="22"/>
              </w:rPr>
              <w:t xml:space="preserve">Address Proof (Utility Bill)</w:t>
            </w:r>
          </w:p>
        </w:tc>
        <w:tc>
          <w:tcPr>
            <w:tcW w:type="dxa" w:w="4680"/>
            <w:tcBorders>
              <w:top w:val="single" w:color="000000" w:sz="6"/>
              <w:left w:val="single" w:color="000000" w:sz="6"/>
              <w:bottom w:val="single" w:color="000000" w:sz="6"/>
              <w:right w:val="single" w:color="000000" w:sz="6"/>
            </w:tcBorders>
            <w:tcMar>
              <w:top w:type="dxa" w:w="80"/>
              <w:left w:type="dxa" w:w="80"/>
              <w:bottom w:type="dxa" w:w="80"/>
              <w:right w:type="dxa" w:w="80"/>
            </w:tcMar>
          </w:tcPr>
          <w:p>
            <w:pPr>
              <w:jc w:val="center"/>
            </w:pPr>
            <w:r>
              <w:rPr>
                <w:sz w:val="22"/>
                <w:szCs w:val="22"/>
              </w:rPr>
              <w:t xml:space="preserve">Yes</w:t>
            </w:r>
          </w:p>
        </w:tc>
      </w:tr>
    </w:tbl>
    <w:p>
      <w:pPr>
        <w:pStyle w:val="Heading2"/>
        <w:spacing w:after="150" w:before="300"/>
      </w:pPr>
      <w:r>
        <w:rPr>
          <w:b/>
          <w:bCs/>
          <w:color w:val="1F4E78"/>
          <w:sz w:val="28"/>
          <w:szCs w:val="28"/>
        </w:rPr>
        <w:t xml:space="preserve">16.2 Appendix B: EMI Calculator Formula</w:t>
      </w:r>
    </w:p>
    <w:p>
      <w:pPr>
        <w:spacing w:after="120" w:line="360"/>
      </w:pPr>
      <w:r>
        <w:rPr>
          <w:b w:val="false"/>
          <w:bCs w:val="false"/>
          <w:sz w:val="22"/>
          <w:szCs w:val="22"/>
        </w:rPr>
        <w:t xml:space="preserve">EMI is calculated using the following formula:</w:t>
      </w:r>
    </w:p>
    <w:p>
      <w:pPr>
        <w:spacing w:after="120" w:line="360"/>
      </w:pPr>
      <w:r>
        <w:rPr>
          <w:b w:val="false"/>
          <w:bCs w:val="false"/>
          <w:sz w:val="22"/>
          <w:szCs w:val="22"/>
        </w:rPr>
        <w:t xml:space="preserve">EMI = [P × R × (1+R)^N] / [(1+R)^N - 1]</w:t>
      </w:r>
    </w:p>
    <w:p>
      <w:pPr>
        <w:spacing w:after="120" w:line="360"/>
      </w:pPr>
      <w:r>
        <w:rPr>
          <w:b w:val="false"/>
          <w:bCs w:val="false"/>
          <w:sz w:val="22"/>
          <w:szCs w:val="22"/>
        </w:rPr>
        <w:t xml:space="preserve">Where:</w:t>
      </w:r>
    </w:p>
    <w:p>
      <w:pPr>
        <w:spacing w:after="120" w:line="360"/>
      </w:pPr>
      <w:r>
        <w:rPr>
          <w:b w:val="false"/>
          <w:bCs w:val="false"/>
          <w:sz w:val="22"/>
          <w:szCs w:val="22"/>
        </w:rPr>
        <w:t xml:space="preserve">P = Principal loan amount</w:t>
      </w:r>
    </w:p>
    <w:p>
      <w:pPr>
        <w:spacing w:after="120" w:line="360"/>
      </w:pPr>
      <w:r>
        <w:rPr>
          <w:b w:val="false"/>
          <w:bCs w:val="false"/>
          <w:sz w:val="22"/>
          <w:szCs w:val="22"/>
        </w:rPr>
        <w:t xml:space="preserve">R = Monthly interest rate (Annual rate / 12 / 100)</w:t>
      </w:r>
    </w:p>
    <w:p>
      <w:pPr>
        <w:spacing w:after="120" w:line="360"/>
      </w:pPr>
      <w:r>
        <w:rPr>
          <w:b w:val="false"/>
          <w:bCs w:val="false"/>
          <w:sz w:val="22"/>
          <w:szCs w:val="22"/>
        </w:rPr>
        <w:t xml:space="preserve">N = Total number of months</w:t>
      </w:r>
    </w:p>
    <w:p>
      <w:pPr>
        <w:pStyle w:val="Heading2"/>
        <w:spacing w:after="150" w:before="300"/>
      </w:pPr>
      <w:r>
        <w:rPr>
          <w:b/>
          <w:bCs/>
          <w:color w:val="1F4E78"/>
          <w:sz w:val="28"/>
          <w:szCs w:val="28"/>
        </w:rPr>
        <w:t xml:space="preserve">16.3 Appendix C: Important Definitions</w:t>
      </w:r>
    </w:p>
    <w:p>
      <w:pPr>
        <w:pStyle w:val="Heading3"/>
        <w:spacing w:after="100" w:before="200"/>
      </w:pPr>
      <w:r>
        <w:rPr>
          <w:b/>
          <w:bCs/>
          <w:color w:val="1F4E78"/>
          <w:sz w:val="24"/>
          <w:szCs w:val="24"/>
        </w:rPr>
        <w:t xml:space="preserve">CIBIL Score:</w:t>
      </w:r>
    </w:p>
    <w:p>
      <w:pPr>
        <w:spacing w:after="120" w:line="360"/>
      </w:pPr>
      <w:r>
        <w:rPr>
          <w:b w:val="false"/>
          <w:bCs w:val="false"/>
          <w:sz w:val="22"/>
          <w:szCs w:val="22"/>
        </w:rPr>
        <w:t xml:space="preserve">Credit rating issued by TransUnion CIBIL Ltd based on credit history, ranging from 300-900.</w:t>
      </w:r>
    </w:p>
    <w:p>
      <w:pPr>
        <w:pStyle w:val="Heading3"/>
        <w:spacing w:after="100" w:before="200"/>
      </w:pPr>
      <w:r>
        <w:rPr>
          <w:b/>
          <w:bCs/>
          <w:color w:val="1F4E78"/>
          <w:sz w:val="24"/>
          <w:szCs w:val="24"/>
        </w:rPr>
        <w:t xml:space="preserve">DTI Ratio:</w:t>
      </w:r>
    </w:p>
    <w:p>
      <w:pPr>
        <w:spacing w:after="120" w:line="360"/>
      </w:pPr>
      <w:r>
        <w:rPr>
          <w:b w:val="false"/>
          <w:bCs w:val="false"/>
          <w:sz w:val="22"/>
          <w:szCs w:val="22"/>
        </w:rPr>
        <w:t xml:space="preserve">Debt-to-Income ratio; calculated as monthly debt obligations divided by monthly income.</w:t>
      </w:r>
    </w:p>
    <w:p>
      <w:pPr>
        <w:pStyle w:val="Heading3"/>
        <w:spacing w:after="100" w:before="200"/>
      </w:pPr>
      <w:r>
        <w:rPr>
          <w:b/>
          <w:bCs/>
          <w:color w:val="1F4E78"/>
          <w:sz w:val="24"/>
          <w:szCs w:val="24"/>
        </w:rPr>
        <w:t xml:space="preserve">EMI:</w:t>
      </w:r>
    </w:p>
    <w:p>
      <w:pPr>
        <w:spacing w:after="120" w:line="360"/>
      </w:pPr>
      <w:r>
        <w:rPr>
          <w:b w:val="false"/>
          <w:bCs w:val="false"/>
          <w:sz w:val="22"/>
          <w:szCs w:val="22"/>
        </w:rPr>
        <w:t xml:space="preserve">Equated Monthly Installment; fixed monthly payment amount covering principal and interest.</w:t>
      </w:r>
    </w:p>
    <w:p>
      <w:pPr>
        <w:pStyle w:val="Heading3"/>
        <w:spacing w:after="100" w:before="200"/>
      </w:pPr>
      <w:r>
        <w:rPr>
          <w:b/>
          <w:bCs/>
          <w:color w:val="1F4E78"/>
          <w:sz w:val="24"/>
          <w:szCs w:val="24"/>
        </w:rPr>
        <w:t xml:space="preserve">ITR:</w:t>
      </w:r>
    </w:p>
    <w:p>
      <w:pPr>
        <w:spacing w:after="120" w:line="360"/>
      </w:pPr>
      <w:r>
        <w:rPr>
          <w:b w:val="false"/>
          <w:bCs w:val="false"/>
          <w:sz w:val="22"/>
          <w:szCs w:val="22"/>
        </w:rPr>
        <w:t xml:space="preserve">Income Tax Return; annual tax filing document submitted to tax authority.</w:t>
      </w:r>
    </w:p>
    <w:p>
      <w:pPr>
        <w:pStyle w:val="Heading3"/>
        <w:spacing w:after="100" w:before="200"/>
      </w:pPr>
      <w:r>
        <w:rPr>
          <w:b/>
          <w:bCs/>
          <w:color w:val="1F4E78"/>
          <w:sz w:val="24"/>
          <w:szCs w:val="24"/>
        </w:rPr>
        <w:t xml:space="preserve">Tenure:</w:t>
      </w:r>
    </w:p>
    <w:p>
      <w:pPr>
        <w:spacing w:after="120" w:line="360"/>
      </w:pPr>
      <w:r>
        <w:rPr>
          <w:b w:val="false"/>
          <w:bCs w:val="false"/>
          <w:sz w:val="22"/>
          <w:szCs w:val="22"/>
        </w:rPr>
        <w:t xml:space="preserve">Duration of loan repayment period, typically measured in months.</w:t>
      </w:r>
    </w:p>
    <w:r>
      <w:br w:type="page"/>
    </w:r>
    <w:p>
      <w:pPr>
        <w:pStyle w:val="Heading1"/>
        <w:spacing w:after="200" w:before="400"/>
      </w:pPr>
      <w:r>
        <w:rPr>
          <w:b/>
          <w:bCs/>
          <w:color w:val="003366"/>
          <w:sz w:val="32"/>
          <w:szCs w:val="32"/>
        </w:rPr>
        <w:t xml:space="preserve">17. Legal &amp; Regulatory Information</w:t>
      </w:r>
    </w:p>
    <w:p>
      <w:pPr>
        <w:pStyle w:val="Heading2"/>
        <w:spacing w:after="150" w:before="300"/>
      </w:pPr>
      <w:r>
        <w:rPr>
          <w:b/>
          <w:bCs/>
          <w:color w:val="1F4E78"/>
          <w:sz w:val="28"/>
          <w:szCs w:val="28"/>
        </w:rPr>
        <w:t xml:space="preserve">17.1 Disclaimer &amp; Acceptance of Terms</w:t>
      </w:r>
    </w:p>
    <w:p>
      <w:pPr>
        <w:spacing w:after="120" w:line="360"/>
      </w:pPr>
      <w:r>
        <w:rPr>
          <w:b w:val="false"/>
          <w:bCs w:val="false"/>
          <w:sz w:val="22"/>
          <w:szCs w:val="22"/>
        </w:rPr>
        <w:t xml:space="default">The applicant acknowledges having read and understood all terms and conditions of this Personal Loan Policy. By submitting a loan application, the applicant expressly agrees to be bound by these terms. The bank reserves the right to modify these guidelines at any time with prior notice as permitted under RBI regulations. Continued borrowing after modification constitutes acceptance of new terms.</w:t>
      </w:r>
    </w:p>
    <w:p>
      <w:pPr>
        <w:pStyle w:val="Heading2"/>
        <w:spacing w:after="150" w:before="300"/>
      </w:pPr>
      <w:r>
        <w:rPr>
          <w:b/>
          <w:bCs/>
          <w:color w:val="1F4E78"/>
          <w:sz w:val="28"/>
          <w:szCs w:val="28"/>
        </w:rPr>
        <w:t xml:space="preserve">17.2 Information Accuracy</w:t>
      </w:r>
    </w:p>
    <w:p>
      <w:pPr>
        <w:spacing w:after="120" w:line="360"/>
      </w:pPr>
      <w:r>
        <w:rPr>
          <w:b w:val="false"/>
          <w:bCs w:val="false"/>
          <w:sz w:val="22"/>
          <w:szCs w:val="22"/>
        </w:rPr>
        <w:t xml:space="preserve">The applicant certifies that all information provided in the application is true, accurate, and complete to the best of their knowledge. Any misrepresentation or concealment of material facts shall constitute grounds for immediate loan cancellation and legal action.</w:t>
      </w:r>
    </w:p>
    <w:p>
      <w:pPr>
        <w:pStyle w:val="Heading2"/>
        <w:spacing w:after="150" w:before="300"/>
      </w:pPr>
      <w:r>
        <w:rPr>
          <w:b/>
          <w:bCs/>
          <w:color w:val="1F4E78"/>
          <w:sz w:val="28"/>
          <w:szCs w:val="28"/>
        </w:rPr>
        <w:t xml:space="preserve">17.3 Regulatory Authority</w:t>
      </w:r>
    </w:p>
    <w:p>
      <w:pPr>
        <w:spacing w:after="120" w:line="360"/>
      </w:pPr>
      <w:r>
        <w:rPr>
          <w:b w:val="false"/>
          <w:bCs w:val="false"/>
          <w:sz w:val="22"/>
          <w:szCs w:val="22"/>
        </w:rPr>
        <w:t xml:space="preserve">This product and all lending decisions are subject to oversight by the Reserve Bank of India (RBI) and applicable banking regulations including:</w:t>
      </w:r>
    </w:p>
    <w:p>
      <w:pPr>
        <w:pStyle w:val="ListParagraph"/>
        <w:numPr>
          <w:ilvl w:val="0"/>
          <w:numId w:val="2"/>
        </w:numPr>
      </w:pPr>
      <w:r>
        <w:rPr>
          <w:sz w:val="22"/>
          <w:szCs w:val="22"/>
        </w:rPr>
        <w:t xml:space="preserve">Banking Regulation Act, 1949</w:t>
      </w:r>
    </w:p>
    <w:p>
      <w:pPr>
        <w:pStyle w:val="ListParagraph"/>
        <w:numPr>
          <w:ilvl w:val="0"/>
          <w:numId w:val="2"/>
        </w:numPr>
      </w:pPr>
      <w:r>
        <w:rPr>
          <w:sz w:val="22"/>
          <w:szCs w:val="22"/>
        </w:rPr>
        <w:t xml:space="preserve">RBI Directions on Lending to Priority Sector</w:t>
      </w:r>
    </w:p>
    <w:p>
      <w:pPr>
        <w:pStyle w:val="ListParagraph"/>
        <w:numPr>
          <w:ilvl w:val="0"/>
          <w:numId w:val="2"/>
        </w:numPr>
      </w:pPr>
      <w:r>
        <w:rPr>
          <w:sz w:val="22"/>
          <w:szCs w:val="22"/>
        </w:rPr>
        <w:t xml:space="preserve">RBI Guidelines on Fair Lending Practices</w:t>
      </w:r>
    </w:p>
    <w:p>
      <w:pPr>
        <w:pStyle w:val="ListParagraph"/>
        <w:numPr>
          <w:ilvl w:val="0"/>
          <w:numId w:val="2"/>
        </w:numPr>
      </w:pPr>
      <w:r>
        <w:rPr>
          <w:sz w:val="22"/>
          <w:szCs w:val="22"/>
        </w:rPr>
        <w:t xml:space="preserve">Negotiable Instruments Act, 1881</w:t>
      </w:r>
    </w:p>
    <w:p>
      <w:pPr>
        <w:pStyle w:val="Heading2"/>
        <w:spacing w:after="150" w:before="300"/>
      </w:pPr>
      <w:r>
        <w:rPr>
          <w:b/>
          <w:bCs/>
          <w:color w:val="1F4E78"/>
          <w:sz w:val="28"/>
          <w:szCs w:val="28"/>
        </w:rPr>
        <w:t xml:space="preserve">17.4 Jurisdiction</w:t>
      </w:r>
    </w:p>
    <w:p>
      <w:pPr>
        <w:spacing w:after="120" w:line="360"/>
      </w:pPr>
      <w:r>
        <w:rPr>
          <w:b w:val="false"/>
          <w:bCs w:val="false"/>
          <w:sz w:val="22"/>
          <w:szCs w:val="22"/>
        </w:rPr>
        <w:t xml:space="preserve">All disputes arising from this loan shall be subject to the jurisdiction of courts in Mumbai, Maharashtra, India. Any borrower agrees to submit to this jurisdiction exclusively.</w:t>
      </w:r>
    </w:p>
    <w:p>
      <w:pPr>
        <w:pStyle w:val="Heading2"/>
        <w:spacing w:after="150" w:before="300"/>
      </w:pPr>
      <w:r>
        <w:rPr>
          <w:b/>
          <w:bCs/>
          <w:color w:val="1F4E78"/>
          <w:sz w:val="28"/>
          <w:szCs w:val="28"/>
        </w:rPr>
        <w:t xml:space="preserve">17.5 Conflict of Terms</w:t>
      </w:r>
    </w:p>
    <w:p>
      <w:pPr>
        <w:spacing w:after="120" w:line="360"/>
      </w:pPr>
      <w:r>
        <w:rPr>
          <w:b w:val="false"/>
          <w:bCs w:val="false"/>
          <w:sz w:val="22"/>
          <w:szCs w:val="22"/>
        </w:rPr>
        <w:t xml:space="preserve">In case of any conflict between this policy document and individual loan agreement terms, the individual loan agreement shall prevail to the extent of conflict.</w:t>
      </w:r>
    </w:p>
    <w:p>
      <w:pPr>
        <w:spacing w:after="400"/>
      </w:pPr>
      <w:r>
        <w:rPr>
          <w:sz w:val="22"/>
          <w:szCs w:val="22"/>
        </w:rPr>
        <w:t xml:space="preserve"/>
      </w:r>
    </w:p>
    <w:p>
      <w:pPr>
        <w:pBdr>
          <w:bottom w:val="single" w:color="003366" w:sz="6"/>
        </w:pBdr>
      </w:pPr>
      <w:r>
        <w:rPr>
          <w:sz w:val="22"/>
          <w:szCs w:val="22"/>
        </w:rPr>
        <w:t xml:space="preserve"/>
      </w:r>
    </w:p>
    <w:p>
      <w:pPr>
        <w:spacing w:before="400"/>
        <w:jc w:val="center"/>
      </w:pPr>
      <w:r>
        <w:rPr>
          <w:sz w:val="20"/>
          <w:szCs w:val="20"/>
        </w:rPr>
        <w:t xml:space="preserve">Document Version 2.1 | Effective April 1, 2024 | Confidential - For Official Use Only</w:t>
      </w:r>
    </w:p>
    <w:p>
      <w:pPr>
        <w:jc w:val="center"/>
      </w:pPr>
      <w:r>
        <w:rPr>
          <w:sz w:val="20"/>
          <w:szCs w:val="20"/>
        </w:rPr>
        <w:t xml:space="preserve">FinTech Bank Limited | Registered Office: Mumbai, Maharashtra | www.fintechbank.com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2026-04-29T11:15:25.644Z</dcterms:created>
  <dcterms:modified xsi:type="dcterms:W3CDTF">2026-04-29T11:15:25.645Z</dcterms:modified>
</cp:coreProperties>
</file>

<file path=docProps/custom.xml><?xml version="1.0" encoding="utf-8"?>
<Properties xmlns="http://schemas.openxmlformats.org/officeDocument/2006/custom-properties" xmlns:vt="http://schemas.openxmlformats.org/officeDocument/2006/docPropsVTypes"/>
</file>