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Times New Roman" w:cs="Times New Roman" w:eastAsia="Times New Roman" w:hAnsi="Times New Roman"/>
          <w:b/>
          <w:bCs/>
          <w:sz w:val="26"/>
          <w:szCs w:val="26"/>
        </w:rPr>
        <w:t xml:space="preserve">Fine-Grained Bird Species Classification Using Inception-v3 on the CUB-200 Dataset</w:t>
      </w:r>
    </w:p>
    <w:p>
      <w:pPr>
        <w:spacing w:before="0" w:after="60"/>
        <w:jc w:val="center"/>
      </w:pPr>
      <w:r>
        <w:rPr>
          <w:rFonts w:ascii="Times New Roman" w:cs="Times New Roman" w:eastAsia="Times New Roman" w:hAnsi="Times New Roman"/>
          <w:b/>
          <w:bCs/>
          <w:sz w:val="22"/>
          <w:szCs w:val="22"/>
        </w:rPr>
        <w:t xml:space="preserve">Pavithra Govinda Raj</w:t>
      </w:r>
    </w:p>
    <w:p>
      <w:pPr>
        <w:spacing w:before="0" w:after="60"/>
        <w:jc w:val="center"/>
      </w:pPr>
      <w:r>
        <w:rPr>
          <w:rFonts w:ascii="Times New Roman" w:cs="Times New Roman" w:eastAsia="Times New Roman" w:hAnsi="Times New Roman"/>
          <w:b w:val="false"/>
          <w:bCs w:val="false"/>
          <w:sz w:val="18"/>
          <w:szCs w:val="18"/>
        </w:rPr>
        <w:t xml:space="preserve">School of Computing, Data Science and AI  |  Newcastle University, United Kingdom</w:t>
      </w:r>
    </w:p>
    <w:p>
      <w:pPr>
        <w:spacing w:before="0" w:after="220"/>
        <w:jc w:val="center"/>
      </w:pPr>
      <w:r>
        <w:rPr>
          <w:rFonts w:ascii="Times New Roman" w:cs="Times New Roman" w:eastAsia="Times New Roman" w:hAnsi="Times New Roman"/>
          <w:b w:val="false"/>
          <w:bCs w:val="false"/>
          <w:sz w:val="18"/>
          <w:szCs w:val="18"/>
        </w:rPr>
        <w:t xml:space="preserve">Academic Year 2025-2026</w:t>
      </w:r>
    </w:p>
    <w:p>
      <w:pPr>
        <w:pBdr>
          <w:bottom w:val="single" w:color="000000" w:sz="4" w:space="1"/>
        </w:pBdr>
        <w:spacing w:before="0" w:after="0"/>
      </w:pPr>
    </w:p>
    <w:p>
      <w:pPr>
        <w:spacing w:before="150" w:after="70"/>
        <w:jc w:val="center"/>
      </w:pPr>
      <w:r>
        <w:rPr>
          <w:rFonts w:ascii="Times New Roman" w:cs="Times New Roman" w:eastAsia="Times New Roman" w:hAnsi="Times New Roman"/>
          <w:b/>
          <w:bCs/>
          <w:sz w:val="20"/>
          <w:szCs w:val="20"/>
        </w:rPr>
        <w:t xml:space="preserve">Abstract</w:t>
      </w:r>
    </w:p>
    <w:p>
      <w:pPr>
        <w:spacing w:after="80"/>
        <w:ind w:firstLine="720"/>
      </w:pPr>
      <w:r>
        <w:rPr>
          <w:rFonts w:ascii="Times New Roman" w:cs="Times New Roman" w:eastAsia="Times New Roman" w:hAnsi="Times New Roman"/>
          <w:sz w:val="20"/>
          <w:szCs w:val="20"/>
        </w:rPr>
        <w:t xml:space="preserve">Fine-grained visual classification is challenging due to high intra-class similarity and subtle inter-class variation. This paper presents a transfer learning approach for 200-class bird species classification using the CUB-200-2011 dataset and a pretrained Inception-v3 network fine-tuned in PyTorch. Full fine-tuning with auxiliary loss weighting achieves 81.41% test accuracy, 81.32% macro precision, 81.25% macro recall, and 79.08% macro F1-score. Model architecture, training strategy, augmentation, and class imbalance handling are described and analysed.</w:t>
      </w:r>
    </w:p>
    <w:p>
      <w:pPr>
        <w:spacing w:before="0" w:after="190"/>
        <w:jc w:val="left"/>
      </w:pPr>
      <w:r>
        <w:rPr>
          <w:rFonts w:ascii="Times New Roman" w:cs="Times New Roman" w:eastAsia="Times New Roman" w:hAnsi="Times New Roman"/>
          <w:b w:val="false"/>
          <w:bCs w:val="false"/>
          <w:sz w:val="18"/>
          <w:szCs w:val="18"/>
        </w:rPr>
        <w:t xml:space="preserve">Keywords: fine-grained classification, Inception-v3, transfer learning, CUB-200, deep learning, class imbalance.</w:t>
      </w:r>
    </w:p>
    <w:p>
      <w:pPr>
        <w:pBdr>
          <w:bottom w:val="single" w:color="000000" w:sz="4" w:space="1"/>
        </w:pBdr>
        <w:spacing w:before="0" w:after="0"/>
      </w:pPr>
    </w:p>
    <w:p>
      <w:pPr>
        <w:spacing w:before="200" w:after="90"/>
      </w:pPr>
      <w:r>
        <w:rPr>
          <w:rFonts w:ascii="Times New Roman" w:cs="Times New Roman" w:eastAsia="Times New Roman" w:hAnsi="Times New Roman"/>
          <w:b/>
          <w:bCs/>
          <w:sz w:val="22"/>
          <w:szCs w:val="22"/>
        </w:rPr>
        <w:t xml:space="preserve">I. INTRODUCTION</w:t>
      </w:r>
    </w:p>
    <w:p>
      <w:pPr>
        <w:spacing w:after="80"/>
        <w:ind w:firstLine="720"/>
      </w:pPr>
      <w:r>
        <w:rPr>
          <w:rFonts w:ascii="Times New Roman" w:cs="Times New Roman" w:eastAsia="Times New Roman" w:hAnsi="Times New Roman"/>
          <w:sz w:val="20"/>
          <w:szCs w:val="20"/>
        </w:rPr>
        <w:t xml:space="preserve">Fine-grained image classification distinguishes visually similar subcategories — such as bird species — where morphological differences are subtle, intra-class variation is high, and per-class training data is limited. This work addresses 200-class bird recognition using the CUB-200-2011 dataset [1] and a pretrained Inception-v3 architecture [2] adapted via transfer learning. The paper describes the full experimental pipeline and analyses the resulting performance across accuracy, precision, recall, and F1-score.</w:t>
      </w:r>
    </w:p>
    <w:p>
      <w:pPr>
        <w:spacing w:before="200" w:after="90"/>
      </w:pPr>
      <w:r>
        <w:rPr>
          <w:rFonts w:ascii="Times New Roman" w:cs="Times New Roman" w:eastAsia="Times New Roman" w:hAnsi="Times New Roman"/>
          <w:b/>
          <w:bCs/>
          <w:sz w:val="22"/>
          <w:szCs w:val="22"/>
        </w:rPr>
        <w:t xml:space="preserve">II. RELATED WORK</w:t>
      </w:r>
    </w:p>
    <w:p>
      <w:pPr>
        <w:spacing w:after="80"/>
        <w:ind w:firstLine="720"/>
      </w:pPr>
      <w:r>
        <w:rPr>
          <w:rFonts w:ascii="Times New Roman" w:cs="Times New Roman" w:eastAsia="Times New Roman" w:hAnsi="Times New Roman"/>
          <w:sz w:val="20"/>
          <w:szCs w:val="20"/>
        </w:rPr>
        <w:t xml:space="preserve">Deep CNNs pretrained on ImageNet and fine-tuned on domain-specific datasets have become the standard approach for fine-grained recognition [3]. Inception-v3 is particularly well-suited to this task: its multi-scale factorised convolutions extract features at multiple receptive field sizes, and its auxiliary classifier provides an additional gradient signal that mitigates vanishing gradients in deep networks. Prior work on CUB-200 using similar architectures reports accuracies in the 78-85% range with standard augmentation and full fine-tuning [4].</w:t>
      </w:r>
    </w:p>
    <w:p>
      <w:pPr>
        <w:spacing w:before="200" w:after="90"/>
      </w:pPr>
      <w:r>
        <w:rPr>
          <w:rFonts w:ascii="Times New Roman" w:cs="Times New Roman" w:eastAsia="Times New Roman" w:hAnsi="Times New Roman"/>
          <w:b/>
          <w:bCs/>
          <w:sz w:val="22"/>
          <w:szCs w:val="22"/>
        </w:rPr>
        <w:t xml:space="preserve">III. DATASET</w:t>
      </w:r>
    </w:p>
    <w:p>
      <w:pPr>
        <w:spacing w:after="80"/>
        <w:ind w:firstLine="720"/>
      </w:pPr>
      <w:r>
        <w:rPr>
          <w:rFonts w:ascii="Times New Roman" w:cs="Times New Roman" w:eastAsia="Times New Roman" w:hAnsi="Times New Roman"/>
          <w:sz w:val="20"/>
          <w:szCs w:val="20"/>
        </w:rPr>
        <w:t xml:space="preserve">The CUB-200-2011 dataset [1] contains 11,788 images spanning 200 bird species, approximately 30-60 images per class. The dataset is broadly balanced; however, subset sampling introduced minor class imbalance that affected macro-averaged metrics for low-frequency classes. No additional annotations (bounding boxes, part landmarks) were used, relying solely on image-level labels and standard train/test splits.</w:t>
      </w:r>
    </w:p>
    <w:p>
      <w:pPr>
        <w:spacing w:before="200" w:after="90"/>
      </w:pPr>
      <w:r>
        <w:rPr>
          <w:rFonts w:ascii="Times New Roman" w:cs="Times New Roman" w:eastAsia="Times New Roman" w:hAnsi="Times New Roman"/>
          <w:b/>
          <w:bCs/>
          <w:sz w:val="22"/>
          <w:szCs w:val="22"/>
        </w:rPr>
        <w:t xml:space="preserve">IV. METHODOLOGY</w:t>
      </w:r>
    </w:p>
    <w:p>
      <w:pPr>
        <w:spacing w:before="130" w:after="60"/>
      </w:pPr>
      <w:r>
        <w:rPr>
          <w:rFonts w:ascii="Times New Roman" w:cs="Times New Roman" w:eastAsia="Times New Roman" w:hAnsi="Times New Roman"/>
          <w:b/>
          <w:bCs/>
          <w:sz w:val="20"/>
          <w:szCs w:val="20"/>
        </w:rPr>
        <w:t xml:space="preserve">A. Architecture</w:t>
      </w:r>
    </w:p>
    <w:p>
      <w:pPr>
        <w:spacing w:after="80"/>
        <w:ind w:firstLine="720"/>
      </w:pPr>
      <w:r>
        <w:rPr>
          <w:rFonts w:ascii="Times New Roman" w:cs="Times New Roman" w:eastAsia="Times New Roman" w:hAnsi="Times New Roman"/>
          <w:sz w:val="20"/>
          <w:szCs w:val="20"/>
        </w:rPr>
        <w:t xml:space="preserve">A pretrained Inception-v3 model with ImageNet weights was adopted. The final fully connected layer was replaced to project 2048-dimensional features to 200 class logits:</w:t>
      </w:r>
    </w:p>
    <w:p>
      <w:pPr>
        <w:spacing w:after="70"/>
        <w:jc w:val="center"/>
      </w:pPr>
      <w:r>
        <w:rPr>
          <w:rFonts w:ascii="Times New Roman" w:cs="Times New Roman" w:eastAsia="Times New Roman" w:hAnsi="Times New Roman"/>
          <w:sz w:val="20"/>
          <w:szCs w:val="20"/>
        </w:rPr>
        <w:t xml:space="preserve">fc: R^2048 → R^200</w:t>
      </w:r>
    </w:p>
    <w:p>
      <w:pPr>
        <w:spacing w:after="80"/>
        <w:ind w:firstLine="720"/>
      </w:pPr>
      <w:r>
        <w:rPr>
          <w:rFonts w:ascii="Times New Roman" w:cs="Times New Roman" w:eastAsia="Times New Roman" w:hAnsi="Times New Roman"/>
          <w:sz w:val="20"/>
          <w:szCs w:val="20"/>
        </w:rPr>
        <w:t xml:space="preserve">The auxiliary classifier head was similarly modified to output 200 logits, enabling its gradient contribution during training.</w:t>
      </w:r>
    </w:p>
    <w:p>
      <w:pPr>
        <w:spacing w:before="130" w:after="60"/>
      </w:pPr>
      <w:r>
        <w:rPr>
          <w:rFonts w:ascii="Times New Roman" w:cs="Times New Roman" w:eastAsia="Times New Roman" w:hAnsi="Times New Roman"/>
          <w:b/>
          <w:bCs/>
          <w:sz w:val="20"/>
          <w:szCs w:val="20"/>
        </w:rPr>
        <w:t xml:space="preserve">B. Loss Function and Auxiliary Weighting</w:t>
      </w:r>
    </w:p>
    <w:p>
      <w:pPr>
        <w:spacing w:after="80"/>
        <w:ind w:firstLine="720"/>
      </w:pPr>
      <w:r>
        <w:rPr>
          <w:rFonts w:ascii="Times New Roman" w:cs="Times New Roman" w:eastAsia="Times New Roman" w:hAnsi="Times New Roman"/>
          <w:sz w:val="20"/>
          <w:szCs w:val="20"/>
        </w:rPr>
        <w:t xml:space="preserve">Cross-entropy loss was applied to both the primary and auxiliary outputs. Total loss combines both signals:</w:t>
      </w:r>
    </w:p>
    <w:p>
      <w:pPr>
        <w:spacing w:after="70"/>
        <w:jc w:val="center"/>
      </w:pPr>
      <w:r>
        <w:rPr>
          <w:rFonts w:ascii="Times New Roman" w:cs="Times New Roman" w:eastAsia="Times New Roman" w:hAnsi="Times New Roman"/>
          <w:sz w:val="20"/>
          <w:szCs w:val="20"/>
        </w:rPr>
        <w:t xml:space="preserve">L_total = L_main + 0.4 × L_aux</w:t>
      </w:r>
    </w:p>
    <w:p>
      <w:pPr>
        <w:spacing w:after="80"/>
        <w:ind w:firstLine="720"/>
      </w:pPr>
      <w:r>
        <w:rPr>
          <w:rFonts w:ascii="Times New Roman" w:cs="Times New Roman" w:eastAsia="Times New Roman" w:hAnsi="Times New Roman"/>
          <w:sz w:val="20"/>
          <w:szCs w:val="20"/>
        </w:rPr>
        <w:t xml:space="preserve">This weighting is consistent with the original Inception training protocol and provides a regularising gradient signal to intermediate layers. Focal Loss [5] was considered as an alternative for class imbalance mitigation but was not applied in the final configuration.</w:t>
      </w:r>
    </w:p>
    <w:p>
      <w:pPr>
        <w:spacing w:before="130" w:after="60"/>
      </w:pPr>
      <w:r>
        <w:rPr>
          <w:rFonts w:ascii="Times New Roman" w:cs="Times New Roman" w:eastAsia="Times New Roman" w:hAnsi="Times New Roman"/>
          <w:b/>
          <w:bCs/>
          <w:sz w:val="20"/>
          <w:szCs w:val="20"/>
        </w:rPr>
        <w:t xml:space="preserve">C. Training Configuration</w:t>
      </w:r>
    </w:p>
    <w:p>
      <w:pPr>
        <w:spacing w:after="80"/>
        <w:ind w:firstLine="720"/>
      </w:pPr>
      <w:r>
        <w:rPr>
          <w:rFonts w:ascii="Times New Roman" w:cs="Times New Roman" w:eastAsia="Times New Roman" w:hAnsi="Times New Roman"/>
          <w:sz w:val="20"/>
          <w:szCs w:val="20"/>
        </w:rPr>
        <w:t xml:space="preserve">Full fine-tuning was selected over feature extraction to enable domain adaptation for the subtle inter-class differences characteristic of fine-grained tasks. Table I summarises training settings.</w:t>
      </w:r>
    </w:p>
    <w:p>
      <w:pPr>
        <w:spacing w:before="110" w:after="45"/>
        <w:jc w:val="center"/>
      </w:pPr>
      <w:r>
        <w:rPr>
          <w:rFonts w:ascii="Times New Roman" w:cs="Times New Roman" w:eastAsia="Times New Roman" w:hAnsi="Times New Roman"/>
          <w:b/>
          <w:bCs/>
          <w:sz w:val="18"/>
          <w:szCs w:val="18"/>
        </w:rPr>
        <w:t xml:space="preserve">TABLE I: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0D8E8" w:val="clear"/>
            <w:tcMar>
              <w:top w:type="dxa" w:w="55"/>
              <w:left w:type="dxa" w:w="100"/>
              <w:bottom w:type="dxa" w:w="55"/>
              <w:right w:type="dxa" w:w="100"/>
            </w:tcMar>
          </w:tcPr>
          <w:p>
            <w:pPr>
              <w:jc w:val="left"/>
            </w:pPr>
            <w:r>
              <w:rPr>
                <w:rFonts w:ascii="Times New Roman" w:cs="Times New Roman" w:eastAsia="Times New Roman" w:hAnsi="Times New Roman"/>
                <w:b/>
                <w:bCs/>
                <w:sz w:val="18"/>
                <w:szCs w:val="18"/>
              </w:rPr>
              <w:t xml:space="preserve">Setting</w:t>
            </w:r>
          </w:p>
        </w:tc>
        <w:tc>
          <w:tcPr>
            <w:tcW w:type="dxa" w:w="4680"/>
            <w:tcBorders>
              <w:top w:val="single" w:color="AAAAAA" w:sz="1"/>
              <w:left w:val="single" w:color="AAAAAA" w:sz="1"/>
              <w:bottom w:val="single" w:color="AAAAAA" w:sz="1"/>
              <w:right w:val="single" w:color="AAAAAA" w:sz="1"/>
            </w:tcBorders>
            <w:shd w:fill="D0D8E8"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Value</w:t>
            </w:r>
          </w:p>
        </w:tc>
      </w:tr>
      <w:tr>
        <w:tc>
          <w:tcPr>
            <w:tcW w:type="dxa" w:w="4680"/>
            <w:tcBorders>
              <w:top w:val="single" w:color="AAAAAA" w:sz="1"/>
              <w:left w:val="single" w:color="AAAAAA" w:sz="1"/>
              <w:bottom w:val="single" w:color="AAAAAA" w:sz="1"/>
              <w:right w:val="single" w:color="AAAAAA" w:sz="1"/>
            </w:tcBorders>
            <w:tcMar>
              <w:top w:type="dxa" w:w="55"/>
              <w:left w:type="dxa" w:w="100"/>
              <w:bottom w:type="dxa" w:w="55"/>
              <w:right w:type="dxa" w:w="100"/>
            </w:tcMar>
          </w:tcPr>
          <w:p>
            <w:pPr>
              <w:jc w:val="left"/>
            </w:pPr>
            <w:r>
              <w:rPr>
                <w:rFonts w:ascii="Times New Roman" w:cs="Times New Roman" w:eastAsia="Times New Roman" w:hAnsi="Times New Roman"/>
                <w:b w:val="false"/>
                <w:bCs w:val="false"/>
                <w:sz w:val="18"/>
                <w:szCs w:val="18"/>
              </w:rPr>
              <w:t xml:space="preserve">Optimiser</w:t>
            </w:r>
          </w:p>
        </w:tc>
        <w:tc>
          <w:tcPr>
            <w:tcW w:type="dxa" w:w="4680"/>
            <w:tcBorders>
              <w:top w:val="single" w:color="AAAAAA" w:sz="1"/>
              <w:left w:val="single" w:color="AAAAAA" w:sz="1"/>
              <w:bottom w:val="single" w:color="AAAAAA" w:sz="1"/>
              <w:right w:val="single" w:color="AAAAAA" w:sz="1"/>
            </w:tcBorders>
            <w:tcMar>
              <w:top w:type="dxa" w:w="55"/>
              <w:left w:type="dxa" w:w="100"/>
              <w:bottom w:type="dxa" w:w="55"/>
              <w:right w:type="dxa" w:w="100"/>
            </w:tcMar>
          </w:tcPr>
          <w:p>
            <w:pPr>
              <w:jc w:val="center"/>
            </w:pPr>
            <w:r>
              <w:rPr>
                <w:rFonts w:ascii="Times New Roman" w:cs="Times New Roman" w:eastAsia="Times New Roman" w:hAnsi="Times New Roman"/>
                <w:b w:val="false"/>
                <w:bCs w:val="false"/>
                <w:sz w:val="18"/>
                <w:szCs w:val="18"/>
              </w:rPr>
              <w:t xml:space="preserve">Adam</w:t>
            </w:r>
          </w:p>
        </w:tc>
      </w:tr>
      <w:tr>
        <w:tc>
          <w:tcPr>
            <w:tcW w:type="dxa" w:w="4680"/>
            <w:tcBorders>
              <w:top w:val="single" w:color="AAAAAA" w:sz="1"/>
              <w:left w:val="single" w:color="AAAAAA" w:sz="1"/>
              <w:bottom w:val="single" w:color="AAAAAA" w:sz="1"/>
              <w:right w:val="single" w:color="AAAAAA" w:sz="1"/>
            </w:tcBorders>
            <w:shd w:fill="F2F2F2" w:val="clear"/>
            <w:tcMar>
              <w:top w:type="dxa" w:w="55"/>
              <w:left w:type="dxa" w:w="100"/>
              <w:bottom w:type="dxa" w:w="55"/>
              <w:right w:type="dxa" w:w="100"/>
            </w:tcMar>
          </w:tcPr>
          <w:p>
            <w:pPr>
              <w:jc w:val="left"/>
            </w:pPr>
            <w:r>
              <w:rPr>
                <w:rFonts w:ascii="Times New Roman" w:cs="Times New Roman" w:eastAsia="Times New Roman" w:hAnsi="Times New Roman"/>
                <w:b w:val="false"/>
                <w:bCs w:val="false"/>
                <w:sz w:val="18"/>
                <w:szCs w:val="18"/>
              </w:rPr>
              <w:t xml:space="preserve">Learning Rate</w:t>
            </w:r>
          </w:p>
        </w:tc>
        <w:tc>
          <w:tcPr>
            <w:tcW w:type="dxa" w:w="4680"/>
            <w:tcBorders>
              <w:top w:val="single" w:color="AAAAAA" w:sz="1"/>
              <w:left w:val="single" w:color="AAAAAA" w:sz="1"/>
              <w:bottom w:val="single" w:color="AAAAAA" w:sz="1"/>
              <w:right w:val="single" w:color="AAAAAA" w:sz="1"/>
            </w:tcBorders>
            <w:shd w:fill="F2F2F2" w:val="clear"/>
            <w:tcMar>
              <w:top w:type="dxa" w:w="55"/>
              <w:left w:type="dxa" w:w="100"/>
              <w:bottom w:type="dxa" w:w="55"/>
              <w:right w:type="dxa" w:w="100"/>
            </w:tcMar>
          </w:tcPr>
          <w:p>
            <w:pPr>
              <w:jc w:val="center"/>
            </w:pPr>
            <w:r>
              <w:rPr>
                <w:rFonts w:ascii="Times New Roman" w:cs="Times New Roman" w:eastAsia="Times New Roman" w:hAnsi="Times New Roman"/>
                <w:b w:val="false"/>
                <w:bCs w:val="false"/>
                <w:sz w:val="18"/>
                <w:szCs w:val="18"/>
              </w:rPr>
              <w:t xml:space="preserve">1e-4 to 3e-4</w:t>
            </w:r>
          </w:p>
        </w:tc>
      </w:tr>
      <w:tr>
        <w:tc>
          <w:tcPr>
            <w:tcW w:type="dxa" w:w="4680"/>
            <w:tcBorders>
              <w:top w:val="single" w:color="AAAAAA" w:sz="1"/>
              <w:left w:val="single" w:color="AAAAAA" w:sz="1"/>
              <w:bottom w:val="single" w:color="AAAAAA" w:sz="1"/>
              <w:right w:val="single" w:color="AAAAAA" w:sz="1"/>
            </w:tcBorders>
            <w:tcMar>
              <w:top w:type="dxa" w:w="55"/>
              <w:left w:type="dxa" w:w="100"/>
              <w:bottom w:type="dxa" w:w="55"/>
              <w:right w:type="dxa" w:w="100"/>
            </w:tcMar>
          </w:tcPr>
          <w:p>
            <w:pPr>
              <w:jc w:val="left"/>
            </w:pPr>
            <w:r>
              <w:rPr>
                <w:rFonts w:ascii="Times New Roman" w:cs="Times New Roman" w:eastAsia="Times New Roman" w:hAnsi="Times New Roman"/>
                <w:b w:val="false"/>
                <w:bCs w:val="false"/>
                <w:sz w:val="18"/>
                <w:szCs w:val="18"/>
              </w:rPr>
              <w:t xml:space="preserve">Weight Decay</w:t>
            </w:r>
          </w:p>
        </w:tc>
        <w:tc>
          <w:tcPr>
            <w:tcW w:type="dxa" w:w="4680"/>
            <w:tcBorders>
              <w:top w:val="single" w:color="AAAAAA" w:sz="1"/>
              <w:left w:val="single" w:color="AAAAAA" w:sz="1"/>
              <w:bottom w:val="single" w:color="AAAAAA" w:sz="1"/>
              <w:right w:val="single" w:color="AAAAAA" w:sz="1"/>
            </w:tcBorders>
            <w:tcMar>
              <w:top w:type="dxa" w:w="55"/>
              <w:left w:type="dxa" w:w="100"/>
              <w:bottom w:type="dxa" w:w="55"/>
              <w:right w:type="dxa" w:w="100"/>
            </w:tcMar>
          </w:tcPr>
          <w:p>
            <w:pPr>
              <w:jc w:val="center"/>
            </w:pPr>
            <w:r>
              <w:rPr>
                <w:rFonts w:ascii="Times New Roman" w:cs="Times New Roman" w:eastAsia="Times New Roman" w:hAnsi="Times New Roman"/>
                <w:b w:val="false"/>
                <w:bCs w:val="false"/>
                <w:sz w:val="18"/>
                <w:szCs w:val="18"/>
              </w:rPr>
              <w:t xml:space="preserve">1e-4</w:t>
            </w:r>
          </w:p>
        </w:tc>
      </w:tr>
      <w:tr>
        <w:tc>
          <w:tcPr>
            <w:tcW w:type="dxa" w:w="4680"/>
            <w:tcBorders>
              <w:top w:val="single" w:color="AAAAAA" w:sz="1"/>
              <w:left w:val="single" w:color="AAAAAA" w:sz="1"/>
              <w:bottom w:val="single" w:color="AAAAAA" w:sz="1"/>
              <w:right w:val="single" w:color="AAAAAA" w:sz="1"/>
            </w:tcBorders>
            <w:shd w:fill="F2F2F2" w:val="clear"/>
            <w:tcMar>
              <w:top w:type="dxa" w:w="55"/>
              <w:left w:type="dxa" w:w="100"/>
              <w:bottom w:type="dxa" w:w="55"/>
              <w:right w:type="dxa" w:w="100"/>
            </w:tcMar>
          </w:tcPr>
          <w:p>
            <w:pPr>
              <w:jc w:val="left"/>
            </w:pPr>
            <w:r>
              <w:rPr>
                <w:rFonts w:ascii="Times New Roman" w:cs="Times New Roman" w:eastAsia="Times New Roman" w:hAnsi="Times New Roman"/>
                <w:b w:val="false"/>
                <w:bCs w:val="false"/>
                <w:sz w:val="18"/>
                <w:szCs w:val="18"/>
              </w:rPr>
              <w:t xml:space="preserve">Batch Size</w:t>
            </w:r>
          </w:p>
        </w:tc>
        <w:tc>
          <w:tcPr>
            <w:tcW w:type="dxa" w:w="4680"/>
            <w:tcBorders>
              <w:top w:val="single" w:color="AAAAAA" w:sz="1"/>
              <w:left w:val="single" w:color="AAAAAA" w:sz="1"/>
              <w:bottom w:val="single" w:color="AAAAAA" w:sz="1"/>
              <w:right w:val="single" w:color="AAAAAA" w:sz="1"/>
            </w:tcBorders>
            <w:shd w:fill="F2F2F2" w:val="clear"/>
            <w:tcMar>
              <w:top w:type="dxa" w:w="55"/>
              <w:left w:type="dxa" w:w="100"/>
              <w:bottom w:type="dxa" w:w="55"/>
              <w:right w:type="dxa" w:w="100"/>
            </w:tcMar>
          </w:tcPr>
          <w:p>
            <w:pPr>
              <w:jc w:val="center"/>
            </w:pPr>
            <w:r>
              <w:rPr>
                <w:rFonts w:ascii="Times New Roman" w:cs="Times New Roman" w:eastAsia="Times New Roman" w:hAnsi="Times New Roman"/>
                <w:b w:val="false"/>
                <w:bCs w:val="false"/>
                <w:sz w:val="18"/>
                <w:szCs w:val="18"/>
              </w:rPr>
              <w:t xml:space="preserve">16-32</w:t>
            </w:r>
          </w:p>
        </w:tc>
      </w:tr>
      <w:tr>
        <w:tc>
          <w:tcPr>
            <w:tcW w:type="dxa" w:w="4680"/>
            <w:tcBorders>
              <w:top w:val="single" w:color="AAAAAA" w:sz="1"/>
              <w:left w:val="single" w:color="AAAAAA" w:sz="1"/>
              <w:bottom w:val="single" w:color="AAAAAA" w:sz="1"/>
              <w:right w:val="single" w:color="AAAAAA" w:sz="1"/>
            </w:tcBorders>
            <w:tcMar>
              <w:top w:type="dxa" w:w="55"/>
              <w:left w:type="dxa" w:w="100"/>
              <w:bottom w:type="dxa" w:w="55"/>
              <w:right w:type="dxa" w:w="100"/>
            </w:tcMar>
          </w:tcPr>
          <w:p>
            <w:pPr>
              <w:jc w:val="left"/>
            </w:pPr>
            <w:r>
              <w:rPr>
                <w:rFonts w:ascii="Times New Roman" w:cs="Times New Roman" w:eastAsia="Times New Roman" w:hAnsi="Times New Roman"/>
                <w:b w:val="false"/>
                <w:bCs w:val="false"/>
                <w:sz w:val="18"/>
                <w:szCs w:val="18"/>
              </w:rPr>
              <w:t xml:space="preserve">Epochs</w:t>
            </w:r>
          </w:p>
        </w:tc>
        <w:tc>
          <w:tcPr>
            <w:tcW w:type="dxa" w:w="4680"/>
            <w:tcBorders>
              <w:top w:val="single" w:color="AAAAAA" w:sz="1"/>
              <w:left w:val="single" w:color="AAAAAA" w:sz="1"/>
              <w:bottom w:val="single" w:color="AAAAAA" w:sz="1"/>
              <w:right w:val="single" w:color="AAAAAA" w:sz="1"/>
            </w:tcBorders>
            <w:tcMar>
              <w:top w:type="dxa" w:w="55"/>
              <w:left w:type="dxa" w:w="100"/>
              <w:bottom w:type="dxa" w:w="55"/>
              <w:right w:type="dxa" w:w="100"/>
            </w:tcMar>
          </w:tcPr>
          <w:p>
            <w:pPr>
              <w:jc w:val="center"/>
            </w:pPr>
            <w:r>
              <w:rPr>
                <w:rFonts w:ascii="Times New Roman" w:cs="Times New Roman" w:eastAsia="Times New Roman" w:hAnsi="Times New Roman"/>
                <w:b w:val="false"/>
                <w:bCs w:val="false"/>
                <w:sz w:val="18"/>
                <w:szCs w:val="18"/>
              </w:rPr>
              <w:t xml:space="preserve">20-40</w:t>
            </w:r>
          </w:p>
        </w:tc>
      </w:tr>
      <w:tr>
        <w:tc>
          <w:tcPr>
            <w:tcW w:type="dxa" w:w="4680"/>
            <w:tcBorders>
              <w:top w:val="single" w:color="AAAAAA" w:sz="1"/>
              <w:left w:val="single" w:color="AAAAAA" w:sz="1"/>
              <w:bottom w:val="single" w:color="AAAAAA" w:sz="1"/>
              <w:right w:val="single" w:color="AAAAAA" w:sz="1"/>
            </w:tcBorders>
            <w:shd w:fill="F2F2F2" w:val="clear"/>
            <w:tcMar>
              <w:top w:type="dxa" w:w="55"/>
              <w:left w:type="dxa" w:w="100"/>
              <w:bottom w:type="dxa" w:w="55"/>
              <w:right w:type="dxa" w:w="100"/>
            </w:tcMar>
          </w:tcPr>
          <w:p>
            <w:pPr>
              <w:jc w:val="left"/>
            </w:pPr>
            <w:r>
              <w:rPr>
                <w:rFonts w:ascii="Times New Roman" w:cs="Times New Roman" w:eastAsia="Times New Roman" w:hAnsi="Times New Roman"/>
                <w:b w:val="false"/>
                <w:bCs w:val="false"/>
                <w:sz w:val="18"/>
                <w:szCs w:val="18"/>
              </w:rPr>
              <w:t xml:space="preserve">LR Scheduler</w:t>
            </w:r>
          </w:p>
        </w:tc>
        <w:tc>
          <w:tcPr>
            <w:tcW w:type="dxa" w:w="4680"/>
            <w:tcBorders>
              <w:top w:val="single" w:color="AAAAAA" w:sz="1"/>
              <w:left w:val="single" w:color="AAAAAA" w:sz="1"/>
              <w:bottom w:val="single" w:color="AAAAAA" w:sz="1"/>
              <w:right w:val="single" w:color="AAAAAA" w:sz="1"/>
            </w:tcBorders>
            <w:shd w:fill="F2F2F2" w:val="clear"/>
            <w:tcMar>
              <w:top w:type="dxa" w:w="55"/>
              <w:left w:type="dxa" w:w="100"/>
              <w:bottom w:type="dxa" w:w="55"/>
              <w:right w:type="dxa" w:w="100"/>
            </w:tcMar>
          </w:tcPr>
          <w:p>
            <w:pPr>
              <w:jc w:val="center"/>
            </w:pPr>
            <w:r>
              <w:rPr>
                <w:rFonts w:ascii="Times New Roman" w:cs="Times New Roman" w:eastAsia="Times New Roman" w:hAnsi="Times New Roman"/>
                <w:b w:val="false"/>
                <w:bCs w:val="false"/>
                <w:sz w:val="18"/>
                <w:szCs w:val="18"/>
              </w:rPr>
              <w:t xml:space="preserve">StepLR / ReduceLROnPlateau</w:t>
            </w:r>
          </w:p>
        </w:tc>
      </w:tr>
      <w:tr>
        <w:tc>
          <w:tcPr>
            <w:tcW w:type="dxa" w:w="4680"/>
            <w:tcBorders>
              <w:top w:val="single" w:color="AAAAAA" w:sz="1"/>
              <w:left w:val="single" w:color="AAAAAA" w:sz="1"/>
              <w:bottom w:val="single" w:color="AAAAAA" w:sz="1"/>
              <w:right w:val="single" w:color="AAAAAA" w:sz="1"/>
            </w:tcBorders>
            <w:tcMar>
              <w:top w:type="dxa" w:w="55"/>
              <w:left w:type="dxa" w:w="100"/>
              <w:bottom w:type="dxa" w:w="55"/>
              <w:right w:type="dxa" w:w="100"/>
            </w:tcMar>
          </w:tcPr>
          <w:p>
            <w:pPr>
              <w:jc w:val="left"/>
            </w:pPr>
            <w:r>
              <w:rPr>
                <w:rFonts w:ascii="Times New Roman" w:cs="Times New Roman" w:eastAsia="Times New Roman" w:hAnsi="Times New Roman"/>
                <w:b w:val="false"/>
                <w:bCs w:val="false"/>
                <w:sz w:val="18"/>
                <w:szCs w:val="18"/>
              </w:rPr>
              <w:t xml:space="preserve">Gradient Clipping</w:t>
            </w:r>
          </w:p>
        </w:tc>
        <w:tc>
          <w:tcPr>
            <w:tcW w:type="dxa" w:w="4680"/>
            <w:tcBorders>
              <w:top w:val="single" w:color="AAAAAA" w:sz="1"/>
              <w:left w:val="single" w:color="AAAAAA" w:sz="1"/>
              <w:bottom w:val="single" w:color="AAAAAA" w:sz="1"/>
              <w:right w:val="single" w:color="AAAAAA" w:sz="1"/>
            </w:tcBorders>
            <w:tcMar>
              <w:top w:type="dxa" w:w="55"/>
              <w:left w:type="dxa" w:w="100"/>
              <w:bottom w:type="dxa" w:w="55"/>
              <w:right w:type="dxa" w:w="100"/>
            </w:tcMar>
          </w:tcPr>
          <w:p>
            <w:pPr>
              <w:jc w:val="center"/>
            </w:pPr>
            <w:r>
              <w:rPr>
                <w:rFonts w:ascii="Times New Roman" w:cs="Times New Roman" w:eastAsia="Times New Roman" w:hAnsi="Times New Roman"/>
                <w:b w:val="false"/>
                <w:bCs w:val="false"/>
                <w:sz w:val="18"/>
                <w:szCs w:val="18"/>
              </w:rPr>
              <w:t xml:space="preserve">Norm ≤ 5</w:t>
            </w:r>
          </w:p>
        </w:tc>
      </w:tr>
    </w:tbl>
    <w:p>
      <w:pPr>
        <w:spacing w:before="0" w:after="80"/>
        <w:jc w:val="left"/>
      </w:pPr>
      <w:r>
        <w:rPr>
          <w:rFonts w:ascii="Times New Roman" w:cs="Times New Roman" w:eastAsia="Times New Roman" w:hAnsi="Times New Roman"/>
          <w:b w:val="false"/>
          <w:bCs w:val="false"/>
          <w:sz w:val="20"/>
          <w:szCs w:val="20"/>
        </w:rPr>
        <w:t xml:space="preserve"/>
      </w:r>
    </w:p>
    <w:p>
      <w:pPr>
        <w:spacing w:before="130" w:after="60"/>
      </w:pPr>
      <w:r>
        <w:rPr>
          <w:rFonts w:ascii="Times New Roman" w:cs="Times New Roman" w:eastAsia="Times New Roman" w:hAnsi="Times New Roman"/>
          <w:b/>
          <w:bCs/>
          <w:sz w:val="20"/>
          <w:szCs w:val="20"/>
        </w:rPr>
        <w:t xml:space="preserve">D. Data Augmentation</w:t>
      </w:r>
    </w:p>
    <w:p>
      <w:pPr>
        <w:spacing w:after="80"/>
        <w:ind w:firstLine="720"/>
      </w:pPr>
      <w:r>
        <w:rPr>
          <w:rFonts w:ascii="Times New Roman" w:cs="Times New Roman" w:eastAsia="Times New Roman" w:hAnsi="Times New Roman"/>
          <w:sz w:val="20"/>
          <w:szCs w:val="20"/>
        </w:rPr>
        <w:t xml:space="preserve">Training augmentation comprised: RandomResizedCrop (299×299), RandomHorizontalFlip, ColorJitter, and RandomRotation. Evaluation preprocessing used resize to 320, centre crop to 299, and ImageNet normalisation. Augmentation increases effective sample diversity and reduces overfitting on the relatively small per-class training sets.</w:t>
      </w:r>
    </w:p>
    <w:p>
      <w:pPr>
        <w:spacing w:before="130" w:after="60"/>
      </w:pPr>
      <w:r>
        <w:rPr>
          <w:rFonts w:ascii="Times New Roman" w:cs="Times New Roman" w:eastAsia="Times New Roman" w:hAnsi="Times New Roman"/>
          <w:b/>
          <w:bCs/>
          <w:sz w:val="20"/>
          <w:szCs w:val="20"/>
        </w:rPr>
        <w:t xml:space="preserve">E. Class Imbalance</w:t>
      </w:r>
    </w:p>
    <w:p>
      <w:pPr>
        <w:spacing w:after="80"/>
        <w:ind w:firstLine="720"/>
      </w:pPr>
      <w:r>
        <w:rPr>
          <w:rFonts w:ascii="Times New Roman" w:cs="Times New Roman" w:eastAsia="Times New Roman" w:hAnsi="Times New Roman"/>
          <w:sz w:val="20"/>
          <w:szCs w:val="20"/>
        </w:rPr>
        <w:t xml:space="preserve">Subset sampling introduced minor imbalance, causing undefined precision for a small number of never-predicted classes. Mitigations explored include class-weighted CrossEntropyLoss and WeightedRandomSampler; these were not applied in the final model and represent a direction for future improvement.</w:t>
      </w:r>
    </w:p>
    <w:p>
      <w:pPr>
        <w:spacing w:before="200" w:after="90"/>
      </w:pPr>
      <w:r>
        <w:rPr>
          <w:rFonts w:ascii="Times New Roman" w:cs="Times New Roman" w:eastAsia="Times New Roman" w:hAnsi="Times New Roman"/>
          <w:b/>
          <w:bCs/>
          <w:sz w:val="22"/>
          <w:szCs w:val="22"/>
        </w:rPr>
        <w:t xml:space="preserve">V. EXPERIMENTAL RESULTS</w:t>
      </w:r>
    </w:p>
    <w:p>
      <w:pPr>
        <w:spacing w:before="130" w:after="60"/>
      </w:pPr>
      <w:r>
        <w:rPr>
          <w:rFonts w:ascii="Times New Roman" w:cs="Times New Roman" w:eastAsia="Times New Roman" w:hAnsi="Times New Roman"/>
          <w:b/>
          <w:bCs/>
          <w:sz w:val="20"/>
          <w:szCs w:val="20"/>
        </w:rPr>
        <w:t xml:space="preserve">A. Overall Performance</w:t>
      </w:r>
    </w:p>
    <w:p>
      <w:pPr>
        <w:spacing w:after="80"/>
        <w:ind w:firstLine="720"/>
      </w:pPr>
      <w:r>
        <w:rPr>
          <w:rFonts w:ascii="Times New Roman" w:cs="Times New Roman" w:eastAsia="Times New Roman" w:hAnsi="Times New Roman"/>
          <w:sz w:val="20"/>
          <w:szCs w:val="20"/>
        </w:rPr>
        <w:t xml:space="preserve">Table II reports test-set performance metrics. The model correctly classifies 81.41% of test images across all 200 species.</w:t>
      </w:r>
    </w:p>
    <w:p>
      <w:pPr>
        <w:spacing w:before="110" w:after="45"/>
        <w:jc w:val="center"/>
      </w:pPr>
      <w:r>
        <w:rPr>
          <w:rFonts w:ascii="Times New Roman" w:cs="Times New Roman" w:eastAsia="Times New Roman" w:hAnsi="Times New Roman"/>
          <w:b/>
          <w:bCs/>
          <w:sz w:val="18"/>
          <w:szCs w:val="18"/>
        </w:rPr>
        <w:t xml:space="preserve">TABLE II: Test-Set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0D8E8" w:val="clear"/>
            <w:tcMar>
              <w:top w:type="dxa" w:w="55"/>
              <w:left w:type="dxa" w:w="100"/>
              <w:bottom w:type="dxa" w:w="55"/>
              <w:right w:type="dxa" w:w="100"/>
            </w:tcMar>
          </w:tcPr>
          <w:p>
            <w:pPr>
              <w:jc w:val="left"/>
            </w:pPr>
            <w:r>
              <w:rPr>
                <w:rFonts w:ascii="Times New Roman" w:cs="Times New Roman" w:eastAsia="Times New Roman" w:hAnsi="Times New Roman"/>
                <w:b/>
                <w:bCs/>
                <w:sz w:val="18"/>
                <w:szCs w:val="18"/>
              </w:rPr>
              <w:t xml:space="preserve">Metric</w:t>
            </w:r>
          </w:p>
        </w:tc>
        <w:tc>
          <w:tcPr>
            <w:tcW w:type="dxa" w:w="4680"/>
            <w:tcBorders>
              <w:top w:val="single" w:color="AAAAAA" w:sz="1"/>
              <w:left w:val="single" w:color="AAAAAA" w:sz="1"/>
              <w:bottom w:val="single" w:color="AAAAAA" w:sz="1"/>
              <w:right w:val="single" w:color="AAAAAA" w:sz="1"/>
            </w:tcBorders>
            <w:shd w:fill="D0D8E8"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Score</w:t>
            </w:r>
          </w:p>
        </w:tc>
      </w:tr>
      <w:tr>
        <w:tc>
          <w:tcPr>
            <w:tcW w:type="dxa" w:w="4680"/>
            <w:tcBorders>
              <w:top w:val="single" w:color="AAAAAA" w:sz="1"/>
              <w:left w:val="single" w:color="AAAAAA" w:sz="1"/>
              <w:bottom w:val="single" w:color="AAAAAA" w:sz="1"/>
              <w:right w:val="single" w:color="AAAAAA" w:sz="1"/>
            </w:tcBorders>
            <w:tcMar>
              <w:top w:type="dxa" w:w="55"/>
              <w:left w:type="dxa" w:w="100"/>
              <w:bottom w:type="dxa" w:w="55"/>
              <w:right w:type="dxa" w:w="100"/>
            </w:tcMar>
          </w:tcPr>
          <w:p>
            <w:pPr>
              <w:jc w:val="left"/>
            </w:pPr>
            <w:r>
              <w:rPr>
                <w:rFonts w:ascii="Times New Roman" w:cs="Times New Roman" w:eastAsia="Times New Roman" w:hAnsi="Times New Roman"/>
                <w:b w:val="false"/>
                <w:bCs w:val="false"/>
                <w:sz w:val="18"/>
                <w:szCs w:val="18"/>
              </w:rPr>
              <w:t xml:space="preserve">Test Accuracy</w:t>
            </w:r>
          </w:p>
        </w:tc>
        <w:tc>
          <w:tcPr>
            <w:tcW w:type="dxa" w:w="4680"/>
            <w:tcBorders>
              <w:top w:val="single" w:color="AAAAAA" w:sz="1"/>
              <w:left w:val="single" w:color="AAAAAA" w:sz="1"/>
              <w:bottom w:val="single" w:color="AAAAAA" w:sz="1"/>
              <w:right w:val="single" w:color="AAAAAA" w:sz="1"/>
            </w:tcBorders>
            <w:tcMar>
              <w:top w:type="dxa" w:w="55"/>
              <w:left w:type="dxa" w:w="100"/>
              <w:bottom w:type="dxa" w:w="55"/>
              <w:right w:type="dxa" w:w="100"/>
            </w:tcMar>
          </w:tcPr>
          <w:p>
            <w:pPr>
              <w:jc w:val="center"/>
            </w:pPr>
            <w:r>
              <w:rPr>
                <w:rFonts w:ascii="Times New Roman" w:cs="Times New Roman" w:eastAsia="Times New Roman" w:hAnsi="Times New Roman"/>
                <w:b w:val="false"/>
                <w:bCs w:val="false"/>
                <w:sz w:val="18"/>
                <w:szCs w:val="18"/>
              </w:rPr>
              <w:t xml:space="preserve">81.41%</w:t>
            </w:r>
          </w:p>
        </w:tc>
      </w:tr>
      <w:tr>
        <w:tc>
          <w:tcPr>
            <w:tcW w:type="dxa" w:w="4680"/>
            <w:tcBorders>
              <w:top w:val="single" w:color="AAAAAA" w:sz="1"/>
              <w:left w:val="single" w:color="AAAAAA" w:sz="1"/>
              <w:bottom w:val="single" w:color="AAAAAA" w:sz="1"/>
              <w:right w:val="single" w:color="AAAAAA" w:sz="1"/>
            </w:tcBorders>
            <w:shd w:fill="F2F2F2" w:val="clear"/>
            <w:tcMar>
              <w:top w:type="dxa" w:w="55"/>
              <w:left w:type="dxa" w:w="100"/>
              <w:bottom w:type="dxa" w:w="55"/>
              <w:right w:type="dxa" w:w="100"/>
            </w:tcMar>
          </w:tcPr>
          <w:p>
            <w:pPr>
              <w:jc w:val="left"/>
            </w:pPr>
            <w:r>
              <w:rPr>
                <w:rFonts w:ascii="Times New Roman" w:cs="Times New Roman" w:eastAsia="Times New Roman" w:hAnsi="Times New Roman"/>
                <w:b w:val="false"/>
                <w:bCs w:val="false"/>
                <w:sz w:val="18"/>
                <w:szCs w:val="18"/>
              </w:rPr>
              <w:t xml:space="preserve">Macro Precision</w:t>
            </w:r>
          </w:p>
        </w:tc>
        <w:tc>
          <w:tcPr>
            <w:tcW w:type="dxa" w:w="4680"/>
            <w:tcBorders>
              <w:top w:val="single" w:color="AAAAAA" w:sz="1"/>
              <w:left w:val="single" w:color="AAAAAA" w:sz="1"/>
              <w:bottom w:val="single" w:color="AAAAAA" w:sz="1"/>
              <w:right w:val="single" w:color="AAAAAA" w:sz="1"/>
            </w:tcBorders>
            <w:shd w:fill="F2F2F2" w:val="clear"/>
            <w:tcMar>
              <w:top w:type="dxa" w:w="55"/>
              <w:left w:type="dxa" w:w="100"/>
              <w:bottom w:type="dxa" w:w="55"/>
              <w:right w:type="dxa" w:w="100"/>
            </w:tcMar>
          </w:tcPr>
          <w:p>
            <w:pPr>
              <w:jc w:val="center"/>
            </w:pPr>
            <w:r>
              <w:rPr>
                <w:rFonts w:ascii="Times New Roman" w:cs="Times New Roman" w:eastAsia="Times New Roman" w:hAnsi="Times New Roman"/>
                <w:b w:val="false"/>
                <w:bCs w:val="false"/>
                <w:sz w:val="18"/>
                <w:szCs w:val="18"/>
              </w:rPr>
              <w:t xml:space="preserve">81.32%</w:t>
            </w:r>
          </w:p>
        </w:tc>
      </w:tr>
      <w:tr>
        <w:tc>
          <w:tcPr>
            <w:tcW w:type="dxa" w:w="4680"/>
            <w:tcBorders>
              <w:top w:val="single" w:color="AAAAAA" w:sz="1"/>
              <w:left w:val="single" w:color="AAAAAA" w:sz="1"/>
              <w:bottom w:val="single" w:color="AAAAAA" w:sz="1"/>
              <w:right w:val="single" w:color="AAAAAA" w:sz="1"/>
            </w:tcBorders>
            <w:tcMar>
              <w:top w:type="dxa" w:w="55"/>
              <w:left w:type="dxa" w:w="100"/>
              <w:bottom w:type="dxa" w:w="55"/>
              <w:right w:type="dxa" w:w="100"/>
            </w:tcMar>
          </w:tcPr>
          <w:p>
            <w:pPr>
              <w:jc w:val="left"/>
            </w:pPr>
            <w:r>
              <w:rPr>
                <w:rFonts w:ascii="Times New Roman" w:cs="Times New Roman" w:eastAsia="Times New Roman" w:hAnsi="Times New Roman"/>
                <w:b w:val="false"/>
                <w:bCs w:val="false"/>
                <w:sz w:val="18"/>
                <w:szCs w:val="18"/>
              </w:rPr>
              <w:t xml:space="preserve">Macro Recall</w:t>
            </w:r>
          </w:p>
        </w:tc>
        <w:tc>
          <w:tcPr>
            <w:tcW w:type="dxa" w:w="4680"/>
            <w:tcBorders>
              <w:top w:val="single" w:color="AAAAAA" w:sz="1"/>
              <w:left w:val="single" w:color="AAAAAA" w:sz="1"/>
              <w:bottom w:val="single" w:color="AAAAAA" w:sz="1"/>
              <w:right w:val="single" w:color="AAAAAA" w:sz="1"/>
            </w:tcBorders>
            <w:tcMar>
              <w:top w:type="dxa" w:w="55"/>
              <w:left w:type="dxa" w:w="100"/>
              <w:bottom w:type="dxa" w:w="55"/>
              <w:right w:type="dxa" w:w="100"/>
            </w:tcMar>
          </w:tcPr>
          <w:p>
            <w:pPr>
              <w:jc w:val="center"/>
            </w:pPr>
            <w:r>
              <w:rPr>
                <w:rFonts w:ascii="Times New Roman" w:cs="Times New Roman" w:eastAsia="Times New Roman" w:hAnsi="Times New Roman"/>
                <w:b w:val="false"/>
                <w:bCs w:val="false"/>
                <w:sz w:val="18"/>
                <w:szCs w:val="18"/>
              </w:rPr>
              <w:t xml:space="preserve">81.25%</w:t>
            </w:r>
          </w:p>
        </w:tc>
      </w:tr>
      <w:tr>
        <w:tc>
          <w:tcPr>
            <w:tcW w:type="dxa" w:w="4680"/>
            <w:tcBorders>
              <w:top w:val="single" w:color="AAAAAA" w:sz="1"/>
              <w:left w:val="single" w:color="AAAAAA" w:sz="1"/>
              <w:bottom w:val="single" w:color="AAAAAA" w:sz="1"/>
              <w:right w:val="single" w:color="AAAAAA" w:sz="1"/>
            </w:tcBorders>
            <w:shd w:fill="F2F2F2" w:val="clear"/>
            <w:tcMar>
              <w:top w:type="dxa" w:w="55"/>
              <w:left w:type="dxa" w:w="100"/>
              <w:bottom w:type="dxa" w:w="55"/>
              <w:right w:type="dxa" w:w="100"/>
            </w:tcMar>
          </w:tcPr>
          <w:p>
            <w:pPr>
              <w:jc w:val="left"/>
            </w:pPr>
            <w:r>
              <w:rPr>
                <w:rFonts w:ascii="Times New Roman" w:cs="Times New Roman" w:eastAsia="Times New Roman" w:hAnsi="Times New Roman"/>
                <w:b w:val="false"/>
                <w:bCs w:val="false"/>
                <w:sz w:val="18"/>
                <w:szCs w:val="18"/>
              </w:rPr>
              <w:t xml:space="preserve">Macro F1-Score</w:t>
            </w:r>
          </w:p>
        </w:tc>
        <w:tc>
          <w:tcPr>
            <w:tcW w:type="dxa" w:w="4680"/>
            <w:tcBorders>
              <w:top w:val="single" w:color="AAAAAA" w:sz="1"/>
              <w:left w:val="single" w:color="AAAAAA" w:sz="1"/>
              <w:bottom w:val="single" w:color="AAAAAA" w:sz="1"/>
              <w:right w:val="single" w:color="AAAAAA" w:sz="1"/>
            </w:tcBorders>
            <w:shd w:fill="F2F2F2" w:val="clear"/>
            <w:tcMar>
              <w:top w:type="dxa" w:w="55"/>
              <w:left w:type="dxa" w:w="100"/>
              <w:bottom w:type="dxa" w:w="55"/>
              <w:right w:type="dxa" w:w="100"/>
            </w:tcMar>
          </w:tcPr>
          <w:p>
            <w:pPr>
              <w:jc w:val="center"/>
            </w:pPr>
            <w:r>
              <w:rPr>
                <w:rFonts w:ascii="Times New Roman" w:cs="Times New Roman" w:eastAsia="Times New Roman" w:hAnsi="Times New Roman"/>
                <w:b w:val="false"/>
                <w:bCs w:val="false"/>
                <w:sz w:val="18"/>
                <w:szCs w:val="18"/>
              </w:rPr>
              <w:t xml:space="preserve">79.08%</w:t>
            </w:r>
          </w:p>
        </w:tc>
      </w:tr>
    </w:tbl>
    <w:p>
      <w:pPr>
        <w:spacing w:before="0" w:after="80"/>
        <w:jc w:val="left"/>
      </w:pPr>
      <w:r>
        <w:rPr>
          <w:rFonts w:ascii="Times New Roman" w:cs="Times New Roman" w:eastAsia="Times New Roman" w:hAnsi="Times New Roman"/>
          <w:b w:val="false"/>
          <w:bCs w:val="false"/>
          <w:sz w:val="20"/>
          <w:szCs w:val="20"/>
        </w:rPr>
        <w:t xml:space="preserve"/>
      </w:r>
    </w:p>
    <w:p>
      <w:pPr>
        <w:spacing w:before="130" w:after="60"/>
      </w:pPr>
      <w:r>
        <w:rPr>
          <w:rFonts w:ascii="Times New Roman" w:cs="Times New Roman" w:eastAsia="Times New Roman" w:hAnsi="Times New Roman"/>
          <w:b/>
          <w:bCs/>
          <w:sz w:val="20"/>
          <w:szCs w:val="20"/>
        </w:rPr>
        <w:t xml:space="preserve">B. Metric Analysis</w:t>
      </w:r>
    </w:p>
    <w:p>
      <w:pPr>
        <w:spacing w:after="80"/>
        <w:ind w:firstLine="720"/>
      </w:pPr>
      <w:r>
        <w:rPr>
          <w:rFonts w:ascii="Times New Roman" w:cs="Times New Roman" w:eastAsia="Times New Roman" w:hAnsi="Times New Roman"/>
          <w:sz w:val="20"/>
          <w:szCs w:val="20"/>
        </w:rPr>
        <w:t xml:space="preserve">The small gap between macro precision (81.32%) and macro recall (81.25%) indicates broadly symmetric error distribution across classes. The lower macro F1-score (79.08%) relative to accuracy reflects the impact of never-predicted minority classes, which contribute zero F1 to the macro average and pull it below the overall accuracy figure. Confusion matrix analysis reveals systematic confusion among visually similar species (e.g., warblers, sparrows) and a bias toward majority classes for borderline samples.</w:t>
      </w:r>
    </w:p>
    <w:p>
      <w:pPr>
        <w:spacing w:before="200" w:after="90"/>
      </w:pPr>
      <w:r>
        <w:rPr>
          <w:rFonts w:ascii="Times New Roman" w:cs="Times New Roman" w:eastAsia="Times New Roman" w:hAnsi="Times New Roman"/>
          <w:b/>
          <w:bCs/>
          <w:sz w:val="22"/>
          <w:szCs w:val="22"/>
        </w:rPr>
        <w:t xml:space="preserve">VI. DISCUSSION</w:t>
      </w:r>
    </w:p>
    <w:p>
      <w:pPr>
        <w:spacing w:after="80"/>
        <w:ind w:firstLine="720"/>
      </w:pPr>
      <w:r>
        <w:rPr>
          <w:rFonts w:ascii="Times New Roman" w:cs="Times New Roman" w:eastAsia="Times New Roman" w:hAnsi="Times New Roman"/>
          <w:sz w:val="20"/>
          <w:szCs w:val="20"/>
        </w:rPr>
        <w:t xml:space="preserve">The 81.41% accuracy is competitive for a standard fine-tuning baseline on CUB-200 without part annotations or attention mechanisms. Key strengths are the multi-scale feature extraction of Inception-v3, the stabilising effect of auxiliary loss weighting, and robust augmentation. Primary limitations are: (1) rare class prediction failures due to unmitigated class imbalance; (2) absence of advanced augmentation strategies such as MixUp or CutMix; and (3) no use of spatial attention or part-based localisation, which are known to benefit fine-grained tasks.</w:t>
      </w:r>
    </w:p>
    <w:p>
      <w:pPr>
        <w:spacing w:after="80"/>
        <w:ind w:firstLine="720"/>
      </w:pPr>
      <w:r>
        <w:rPr>
          <w:rFonts w:ascii="Times New Roman" w:cs="Times New Roman" w:eastAsia="Times New Roman" w:hAnsi="Times New Roman"/>
          <w:sz w:val="20"/>
          <w:szCs w:val="20"/>
        </w:rPr>
        <w:t xml:space="preserve">Future work should address these gaps: class-weighted loss or WeightedRandomSampler to recover precision on minority classes; MixUp/CutMix augmentation; cosine annealing with warm restarts; label smoothing; and k-fold cross-validation for more reliable performance estimates. Replacing Inception-v3 with an EfficientNet or Vision Transformer (ViT) backbone may also yield further gains.</w:t>
      </w:r>
    </w:p>
    <w:p>
      <w:pPr>
        <w:spacing w:before="200" w:after="90"/>
      </w:pPr>
      <w:r>
        <w:rPr>
          <w:rFonts w:ascii="Times New Roman" w:cs="Times New Roman" w:eastAsia="Times New Roman" w:hAnsi="Times New Roman"/>
          <w:b/>
          <w:bCs/>
          <w:sz w:val="22"/>
          <w:szCs w:val="22"/>
        </w:rPr>
        <w:t xml:space="preserve">VII. CONCLUSION</w:t>
      </w:r>
    </w:p>
    <w:p>
      <w:pPr>
        <w:spacing w:after="80"/>
        <w:ind w:firstLine="720"/>
      </w:pPr>
      <w:r>
        <w:rPr>
          <w:rFonts w:ascii="Times New Roman" w:cs="Times New Roman" w:eastAsia="Times New Roman" w:hAnsi="Times New Roman"/>
          <w:sz w:val="20"/>
          <w:szCs w:val="20"/>
        </w:rPr>
        <w:t xml:space="preserve">A fine-tuned Inception-v3 model achieves 81.41% accuracy on the 200-class CUB-200-2011 bird classification benchmark. Full fine-tuning with auxiliary loss weighting demonstrates effective transfer of ImageNet representations to a fine-grained visual domain. Performance is primarily constrained by class imbalance in rare species and the absence of explicit localisation supervision. With targeted augmentation and imbalance correction, further improvements are achievable within the same architectural framework.</w:t>
      </w:r>
    </w:p>
    <w:p>
      <w:pPr>
        <w:spacing w:before="150" w:after="60"/>
        <w:jc w:val="center"/>
      </w:pPr>
      <w:r>
        <w:rPr>
          <w:rFonts w:ascii="Times New Roman" w:cs="Times New Roman" w:eastAsia="Times New Roman" w:hAnsi="Times New Roman"/>
          <w:b w:val="false"/>
          <w:bCs w:val="false"/>
          <w:sz w:val="18"/>
          <w:szCs w:val="18"/>
        </w:rPr>
        <w:t xml:space="preserve">This work was carried out by Pavithra Govinda Raj in association with Newcastle University, School of Computing, Data Science and AI.</w:t>
      </w:r>
    </w:p>
    <w:p>
      <w:pPr>
        <w:pBdr>
          <w:bottom w:val="single" w:color="000000" w:sz="4" w:space="1"/>
        </w:pBdr>
        <w:spacing w:before="0" w:after="0"/>
      </w:pPr>
    </w:p>
    <w:p>
      <w:pPr>
        <w:spacing w:before="200" w:after="90"/>
      </w:pPr>
      <w:r>
        <w:rPr>
          <w:rFonts w:ascii="Times New Roman" w:cs="Times New Roman" w:eastAsia="Times New Roman" w:hAnsi="Times New Roman"/>
          <w:b/>
          <w:bCs/>
          <w:sz w:val="22"/>
          <w:szCs w:val="22"/>
        </w:rPr>
        <w:t xml:space="preserve">REFERENCES</w:t>
      </w:r>
    </w:p>
    <w:p>
      <w:pPr>
        <w:spacing w:after="65"/>
        <w:ind w:left="360" w:hanging="360"/>
      </w:pPr>
      <w:r>
        <w:rPr>
          <w:rFonts w:ascii="Times New Roman" w:cs="Times New Roman" w:eastAsia="Times New Roman" w:hAnsi="Times New Roman"/>
          <w:sz w:val="18"/>
          <w:szCs w:val="18"/>
        </w:rPr>
        <w:t xml:space="preserve">[1] C. Wah, S. Branson, P. Welinder, P. Perona, and S. Belongie, "The Caltech-UCSD Birds-200-2011 Dataset," California Institute of Technology, Tech. Rep. CNS-TR-2011-001, 2011.</w:t>
      </w:r>
    </w:p>
    <w:p>
      <w:pPr>
        <w:spacing w:after="65"/>
        <w:ind w:left="360" w:hanging="360"/>
      </w:pPr>
      <w:r>
        <w:rPr>
          <w:rFonts w:ascii="Times New Roman" w:cs="Times New Roman" w:eastAsia="Times New Roman" w:hAnsi="Times New Roman"/>
          <w:sz w:val="18"/>
          <w:szCs w:val="18"/>
        </w:rPr>
        <w:t xml:space="preserve">[2] C. Szegedy, V. Vanhoucke, S. Ioffe, J. Shlens, and Z. Wojna, "Rethinking the Inception Architecture for Computer Vision," in Proc. CVPR, 2016, pp. 2818-2826.</w:t>
      </w:r>
    </w:p>
    <w:p>
      <w:pPr>
        <w:spacing w:after="65"/>
        <w:ind w:left="360" w:hanging="360"/>
      </w:pPr>
      <w:r>
        <w:rPr>
          <w:rFonts w:ascii="Times New Roman" w:cs="Times New Roman" w:eastAsia="Times New Roman" w:hAnsi="Times New Roman"/>
          <w:sz w:val="18"/>
          <w:szCs w:val="18"/>
        </w:rPr>
        <w:t xml:space="preserve">[3] S. J. Pan and Q. Yang, "A Survey on Transfer Learning," IEEE Trans. Knowl. Data Eng., vol. 22, no. 10, pp. 1345-1359, 2010.</w:t>
      </w:r>
    </w:p>
    <w:p>
      <w:pPr>
        <w:spacing w:after="65"/>
        <w:ind w:left="360" w:hanging="360"/>
      </w:pPr>
      <w:r>
        <w:rPr>
          <w:rFonts w:ascii="Times New Roman" w:cs="Times New Roman" w:eastAsia="Times New Roman" w:hAnsi="Times New Roman"/>
          <w:sz w:val="18"/>
          <w:szCs w:val="18"/>
        </w:rPr>
        <w:t xml:space="preserve">[4] Y. Zhang, X. Wei, Q. Wu, J. Cai, J. Lu, V. A. Nguyen, and A. B. Chan, "Weakly Supervised Fine-Grained Image Classification via Correlation-Guided Discriminative Learning," in Proc. ACM MM, 2019.</w:t>
      </w:r>
    </w:p>
    <w:p>
      <w:pPr>
        <w:spacing w:after="65"/>
        <w:ind w:left="360" w:hanging="360"/>
      </w:pPr>
      <w:r>
        <w:rPr>
          <w:rFonts w:ascii="Times New Roman" w:cs="Times New Roman" w:eastAsia="Times New Roman" w:hAnsi="Times New Roman"/>
          <w:sz w:val="18"/>
          <w:szCs w:val="18"/>
        </w:rPr>
        <w:t xml:space="preserve">[5] T.-Y. Lin, P. Goyal, R. Girshick, K. He, and P. Dollar, "Focal Loss for Dense Object Detection," in Proc. ICCV, 2017, pp. 2980-2988.</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jc w:val="center"/>
    </w:pPr>
    <w:r>
      <w:rPr>
        <w:rFonts w:ascii="Times New Roman" w:cs="Times New Roman" w:eastAsia="Times New Roman" w:hAnsi="Times New Roman"/>
        <w:sz w:val="18"/>
        <w:szCs w:val="18"/>
      </w:rPr>
      <w:t xml:space="preserve">Fine-Grained Bird Species Classification — IEEE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2026-03-22T22:09:41.128Z</dcterms:created>
  <dcterms:modified xsi:type="dcterms:W3CDTF">2026-03-22T22:09:41.129Z</dcterms:modified>
</cp:coreProperties>
</file>

<file path=docProps/custom.xml><?xml version="1.0" encoding="utf-8"?>
<Properties xmlns="http://schemas.openxmlformats.org/officeDocument/2006/custom-properties" xmlns:vt="http://schemas.openxmlformats.org/officeDocument/2006/docPropsVTypes"/>
</file>