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904624">
      <w:pPr>
        <w:numPr>
          <w:ilvl w:val="0"/>
          <w:numId w:val="1"/>
        </w:numPr>
        <w:outlineLvl w:val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双均线策略</w:t>
      </w:r>
    </w:p>
    <w:p w14:paraId="2E8FB99B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逻辑</w:t>
      </w:r>
      <w:r>
        <w:rPr>
          <w:rFonts w:hint="default"/>
          <w:b/>
          <w:bCs/>
          <w:lang w:val="en-US" w:eastAsia="zh-CN"/>
        </w:rPr>
        <w:t>：短期均线上穿长期均线买入，下穿卖出</w:t>
      </w:r>
      <w:r>
        <w:rPr>
          <w:rFonts w:hint="eastAsia"/>
          <w:b/>
          <w:bCs/>
          <w:lang w:val="en-US" w:eastAsia="zh-CN"/>
        </w:rPr>
        <w:t>；趋势跟踪策略</w:t>
      </w:r>
    </w:p>
    <w:p w14:paraId="6A01647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落地方案：</w:t>
      </w:r>
    </w:p>
    <w:p w14:paraId="58CB6E9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数据获取：baostock下载股票每日数据</w:t>
      </w:r>
    </w:p>
    <w:p w14:paraId="7EFBABC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数据处理：例如处理停牌日的数据、处理分红送股后的数据等；处理思路：先把股价用图像展示出来，整体看看是否有异常</w:t>
      </w:r>
    </w:p>
    <w:p w14:paraId="13AF17B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计算10日、120日均线</w:t>
      </w:r>
    </w:p>
    <w:p w14:paraId="6465FC9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找出所有金叉（10日均线穿过120日均线）和死叉（120日均线穿过10日均线）的点</w:t>
      </w:r>
    </w:p>
    <w:p w14:paraId="67B562F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初始资金100万，金叉后一交易日全部买入，死叉后一交易日全部卖出</w:t>
      </w:r>
    </w:p>
    <w:p w14:paraId="5CC77472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手续费：考虑佣金（万</w:t>
      </w:r>
      <w:r>
        <w:rPr>
          <w:rFonts w:hint="eastAsia"/>
          <w:lang w:val="en-US" w:eastAsia="zh-CN"/>
        </w:rPr>
        <w:t>1，不足5元按5元算</w:t>
      </w:r>
      <w:r>
        <w:rPr>
          <w:rFonts w:hint="default"/>
          <w:lang w:val="en-US" w:eastAsia="zh-CN"/>
        </w:rPr>
        <w:t>）+ 印花税（千1，卖出收）</w:t>
      </w:r>
    </w:p>
    <w:p w14:paraId="57EBDF2B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考虑涨停买不进和跌停卖不出的情况</w:t>
      </w:r>
    </w:p>
    <w:p w14:paraId="11256D7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计算绩效指标，并与比较买入持有策略进行对比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90"/>
        <w:gridCol w:w="5235"/>
      </w:tblGrid>
      <w:tr w14:paraId="06F10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F531A87"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总收益率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A12C1E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(期末/期初) - 1</w:t>
            </w:r>
          </w:p>
        </w:tc>
      </w:tr>
      <w:tr w14:paraId="5D6D9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7A3C73"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年化收益率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F0C3DB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(1+总收益)^(252/天数) - 1</w:t>
            </w:r>
          </w:p>
        </w:tc>
      </w:tr>
      <w:tr w14:paraId="2C442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7036DB0"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最大回撤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A211F4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max(1 - 净值/前期高点)</w:t>
            </w:r>
          </w:p>
        </w:tc>
      </w:tr>
      <w:tr w14:paraId="74436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36B5E0"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夏普比率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56D32CE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(策略收益 - 无风险利率) / 收益标准差 * sqrt(252)</w:t>
            </w:r>
          </w:p>
        </w:tc>
      </w:tr>
      <w:tr w14:paraId="034EB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6DBC97"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交易次数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9A594D5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完整买卖算一次</w:t>
            </w:r>
          </w:p>
        </w:tc>
      </w:tr>
      <w:tr w14:paraId="69EB1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80996F"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胜率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7723498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盈利交易次数 / 总交易次数</w:t>
            </w:r>
          </w:p>
        </w:tc>
      </w:tr>
      <w:tr w14:paraId="2BA36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1EBA6C">
            <w:pPr>
              <w:numPr>
                <w:ilvl w:val="1"/>
                <w:numId w:val="2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盈亏比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299B13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平均盈利 / 平均亏损</w:t>
            </w:r>
          </w:p>
        </w:tc>
      </w:tr>
    </w:tbl>
    <w:p w14:paraId="2F82CF4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绘制图形</w:t>
      </w:r>
    </w:p>
    <w:p w14:paraId="026AF2D0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子图1：价格 + 均线 + 买卖点标记</w:t>
      </w:r>
    </w:p>
    <w:p w14:paraId="4F13EA9B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子图2：持仓状态（0/1，可视化持仓时间）</w:t>
      </w:r>
    </w:p>
    <w:p w14:paraId="758BA9CD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子图3：策略净值 vs 买入持有净值（对数坐标）</w:t>
      </w:r>
    </w:p>
    <w:p w14:paraId="2039F043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子图4：回撤曲线（水下面积图）计算该策略的总收益、最大回撤、夏普比例等</w:t>
      </w:r>
    </w:p>
    <w:p w14:paraId="17295CD8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做成函数，可变参数包括：股票代码、双均线选择、初始资金</w:t>
      </w:r>
    </w:p>
    <w:p w14:paraId="4F5E01A1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【简单做一下即可】细化研究，比较不同类型股票（例如大盘、小盘）对该策略的敏感度，以及选择哪两个双均线效果好</w:t>
      </w:r>
    </w:p>
    <w:p w14:paraId="44DF26B5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不同均线的选择对交易的影响，以及各自的特征和适用条件</w:t>
      </w:r>
    </w:p>
    <w:p w14:paraId="2D1C3412">
      <w:pPr>
        <w:numPr>
          <w:ilvl w:val="1"/>
          <w:numId w:val="2"/>
        </w:numPr>
        <w:ind w:left="840" w:leftChars="0" w:hanging="420" w:firstLineChars="0"/>
      </w:pPr>
      <w:r>
        <w:rPr>
          <w:rFonts w:hint="eastAsia"/>
          <w:lang w:val="en-US" w:eastAsia="zh-CN"/>
        </w:rPr>
        <w:t>选择沪深300成分股跑该策略，有多少跑赢持有策略；分析该策略适合什么类型的股票</w:t>
      </w:r>
    </w:p>
    <w:p w14:paraId="57A943F0">
      <w:pPr>
        <w:numPr>
          <w:ilvl w:val="2"/>
          <w:numId w:val="2"/>
        </w:numPr>
        <w:ind w:left="1260" w:leftChars="0" w:hanging="420" w:firstLineChars="0"/>
      </w:pPr>
      <w:r>
        <w:rPr>
          <w:rFonts w:hint="eastAsia"/>
          <w:lang w:val="en-US" w:eastAsia="zh-CN"/>
        </w:rPr>
        <w:t>本策略 vs 买入持有策略</w:t>
      </w:r>
      <w:r>
        <w:rPr>
          <w:rFonts w:hint="default"/>
          <w:lang w:val="en-US" w:eastAsia="zh-CN"/>
        </w:rPr>
        <w:t>最大回撤分布</w:t>
      </w:r>
      <w:r>
        <w:rPr>
          <w:rFonts w:hint="eastAsia"/>
          <w:lang w:val="en-US" w:eastAsia="zh-CN"/>
        </w:rPr>
        <w:t>直方图</w:t>
      </w:r>
      <w:r>
        <w:rPr>
          <w:rFonts w:hint="default"/>
          <w:lang w:val="en-US" w:eastAsia="zh-CN"/>
        </w:rPr>
        <w:t>：</w:t>
      </w:r>
      <w:r>
        <w:rPr>
          <w:rFonts w:hint="eastAsia"/>
          <w:lang w:val="en-US" w:eastAsia="zh-CN"/>
        </w:rPr>
        <w:t>观察本策略</w:t>
      </w:r>
      <w:r>
        <w:rPr>
          <w:rFonts w:hint="default"/>
          <w:lang w:val="en-US" w:eastAsia="zh-CN"/>
        </w:rPr>
        <w:t>是否普遍降低了回撤</w:t>
      </w:r>
    </w:p>
    <w:p w14:paraId="62E898E8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本策略</w:t>
      </w:r>
      <w:r>
        <w:rPr>
          <w:rFonts w:hint="default"/>
          <w:lang w:val="en-US" w:eastAsia="zh-CN"/>
        </w:rPr>
        <w:t>胜率vs盈亏比的四象限图</w:t>
      </w:r>
    </w:p>
    <w:p w14:paraId="37C33CF2">
      <w:pPr>
        <w:numPr>
          <w:ilvl w:val="2"/>
          <w:numId w:val="2"/>
        </w:numPr>
        <w:ind w:left="1260" w:leftChars="0" w:hanging="420" w:firstLineChars="0"/>
      </w:pPr>
      <w:r>
        <w:rPr>
          <w:rFonts w:hint="eastAsia"/>
          <w:lang w:val="en-US" w:eastAsia="zh-CN"/>
        </w:rPr>
        <w:t>本</w:t>
      </w:r>
      <w:r>
        <w:rPr>
          <w:rFonts w:hint="default"/>
          <w:lang w:val="en-US" w:eastAsia="zh-CN"/>
        </w:rPr>
        <w:t>策略vs</w:t>
      </w:r>
      <w:r>
        <w:rPr>
          <w:rFonts w:hint="eastAsia"/>
          <w:lang w:val="en-US" w:eastAsia="zh-CN"/>
        </w:rPr>
        <w:t>买入</w:t>
      </w:r>
      <w:r>
        <w:rPr>
          <w:rFonts w:hint="default"/>
          <w:lang w:val="en-US" w:eastAsia="zh-CN"/>
        </w:rPr>
        <w:t>持有</w:t>
      </w:r>
      <w:r>
        <w:rPr>
          <w:rFonts w:hint="eastAsia"/>
          <w:lang w:val="en-US" w:eastAsia="zh-CN"/>
        </w:rPr>
        <w:t>策略</w:t>
      </w:r>
      <w:r>
        <w:rPr>
          <w:rFonts w:hint="default"/>
          <w:lang w:val="en-US" w:eastAsia="zh-CN"/>
        </w:rPr>
        <w:t>收益率的散点图+45度线：点位于45度线上方说明策略跑赢基准</w:t>
      </w:r>
    </w:p>
    <w:p w14:paraId="722B744B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超额收益 vs 回撤改善图（四象限）</w:t>
      </w:r>
    </w:p>
    <w:p w14:paraId="30C1B6A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策略总结（整理到excel中）</w:t>
      </w:r>
    </w:p>
    <w:p w14:paraId="206F0DED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震荡市场金叉和死叉反复出现，该策略失效</w:t>
      </w:r>
    </w:p>
    <w:p w14:paraId="1589B851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增加确认期，确认趋势持续才入场</w:t>
      </w:r>
    </w:p>
    <w:p w14:paraId="69ACBEF9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波动率过滤（ATR/布林带）</w:t>
      </w:r>
    </w:p>
    <w:p w14:paraId="159D0CB5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最小持仓周期</w:t>
      </w:r>
    </w:p>
    <w:p w14:paraId="10797C3B">
      <w:pPr>
        <w:numPr>
          <w:ilvl w:val="2"/>
          <w:numId w:val="2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阈值缓冲，金叉/死叉需要突破一定比例才触发</w:t>
      </w:r>
    </w:p>
    <w:p w14:paraId="7D85251E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该策略可以把握快速上涨的收益，以及避免暴跌的风险</w:t>
      </w:r>
    </w:p>
    <w:p w14:paraId="64609B4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相关理论：</w:t>
      </w:r>
    </w:p>
    <w:p w14:paraId="1F35863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参数小的策略适合小趋势行情（大参数策略反应滞后），参数大的策略适合大趋势行情（过滤掉小的波动）</w:t>
      </w:r>
    </w:p>
    <w:p w14:paraId="444C34B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策略盈亏取决于标的出现这样行情的概率、频率、成功率；要研究市场，研究标的在什么情况下经常出现什么样的走势，然后用合适的指标参数去构建策略，交易这样的走势</w:t>
      </w:r>
    </w:p>
    <w:p w14:paraId="48CAC63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5CEC4D6">
      <w:pPr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RSI超买超卖</w:t>
      </w:r>
    </w:p>
    <w:p w14:paraId="1D52DE7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逻辑</w:t>
      </w:r>
      <w:r>
        <w:rPr>
          <w:rFonts w:hint="default"/>
          <w:b/>
          <w:bCs/>
          <w:lang w:val="en-US" w:eastAsia="zh-CN"/>
        </w:rPr>
        <w:t>：</w:t>
      </w:r>
      <w:r>
        <w:rPr>
          <w:rFonts w:hint="eastAsia"/>
          <w:b/>
          <w:bCs/>
          <w:lang w:val="en-US" w:eastAsia="zh-CN"/>
        </w:rPr>
        <w:t>均值回归策略；RSI（相对强弱指数）是一个在0到100之间运行的震荡指标，当RSI从下方</w:t>
      </w:r>
      <w:r>
        <w:rPr>
          <w:rFonts w:hint="default"/>
          <w:b/>
          <w:bCs/>
          <w:lang w:val="en-US" w:eastAsia="zh-CN"/>
        </w:rPr>
        <w:t>回升并向上穿越30这条线时</w:t>
      </w:r>
      <w:r>
        <w:rPr>
          <w:rFonts w:hint="eastAsia"/>
          <w:b/>
          <w:bCs/>
          <w:lang w:val="en-US" w:eastAsia="zh-CN"/>
        </w:rPr>
        <w:t>买入，当RSI从上方</w:t>
      </w:r>
      <w:r>
        <w:rPr>
          <w:rFonts w:hint="default"/>
          <w:b/>
          <w:bCs/>
          <w:lang w:val="en-US" w:eastAsia="zh-CN"/>
        </w:rPr>
        <w:t>回落并向下穿越70这条线时</w:t>
      </w:r>
      <w:r>
        <w:rPr>
          <w:rFonts w:hint="eastAsia"/>
          <w:b/>
          <w:bCs/>
          <w:lang w:val="en-US" w:eastAsia="zh-CN"/>
        </w:rPr>
        <w:t>卖出。</w:t>
      </w:r>
    </w:p>
    <w:p w14:paraId="16BB678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落地方案：</w:t>
      </w:r>
    </w:p>
    <w:p w14:paraId="0B74F0F2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数据获取：baostock下载股票每日数据，使用前复权数据</w:t>
      </w:r>
    </w:p>
    <w:p w14:paraId="3FEDBC6A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数据处理：例如处理停牌日的数据、处理分红送股后的数据等；处理思路：先把股价用图像展示出来，整体看看是否有异常；数据表中把异常数据标出来</w:t>
      </w:r>
    </w:p>
    <w:p w14:paraId="69E8AC68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标识停牌日：</w:t>
      </w:r>
      <w:r>
        <w:rPr>
          <w:rFonts w:hint="default"/>
          <w:lang w:val="en-US" w:eastAsia="zh-CN"/>
        </w:rPr>
        <w:t>成交量=0</w:t>
      </w:r>
      <w:r>
        <w:rPr>
          <w:rFonts w:hint="eastAsia"/>
          <w:lang w:val="en-US" w:eastAsia="zh-CN"/>
        </w:rPr>
        <w:t>或为空，</w:t>
      </w:r>
      <w:r>
        <w:rPr>
          <w:rFonts w:hint="default"/>
          <w:lang w:val="en-US" w:eastAsia="zh-CN"/>
        </w:rPr>
        <w:t>且价格不变</w:t>
      </w:r>
    </w:p>
    <w:p w14:paraId="74A7EF5A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标识价格异常：600和000开头的股票涨跌幅超过10%，300开头的股票涨跌幅超过20%的极端情况</w:t>
      </w:r>
    </w:p>
    <w:p w14:paraId="06EE35A1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处理退市：数据停留在历史某一天，之后再没有更新</w:t>
      </w:r>
    </w:p>
    <w:p w14:paraId="7613162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计算RSI指标（N默认为14）</w:t>
      </w:r>
    </w:p>
    <w:p w14:paraId="3FA3974D">
      <w:pPr>
        <w:numPr>
          <w:ilvl w:val="0"/>
          <w:numId w:val="0"/>
        </w:numPr>
        <w:ind w:left="42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RSI=A/(A+B)*100   上涨总波动/总波动</w:t>
      </w:r>
    </w:p>
    <w:p w14:paraId="329940BC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A=近N根K线阳线涨幅之和</w:t>
      </w:r>
    </w:p>
    <w:p w14:paraId="1B81F5DB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B=近N根K线阴线跌幅之和的绝对值</w:t>
      </w:r>
    </w:p>
    <w:p w14:paraId="071A9188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生成买入卖出信号</w:t>
      </w:r>
    </w:p>
    <w:p w14:paraId="1B7D8027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RSI在超卖区（RSI&lt;30的区域）上穿30轴买入，在超买区（RSI&gt;70）下穿70轴卖出</w:t>
      </w:r>
    </w:p>
    <w:p w14:paraId="3B75B6D9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添加信号过滤：例如连续信号间隔至少5天</w:t>
      </w:r>
    </w:p>
    <w:p w14:paraId="634B6026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买入卖出信号必须相间隔产生，即不能连续产生买入信号，或连续产生卖出信号</w:t>
      </w:r>
    </w:p>
    <w:p w14:paraId="4C0BE96E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【仅了解】</w:t>
      </w:r>
      <w:r>
        <w:rPr>
          <w:rFonts w:hint="eastAsia"/>
          <w:lang w:val="en-US" w:eastAsia="zh-CN"/>
        </w:rPr>
        <w:t>价格不断创新高，但RSI指标峰值不断降低时卖出（顶背离）；价格不断创新低，但RSI指标谷值不断提高时买入（底背离）</w:t>
      </w:r>
    </w:p>
    <w:p w14:paraId="166538D2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进行回测：初始资金100万</w:t>
      </w:r>
    </w:p>
    <w:p w14:paraId="66C41861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买入和卖出均为全仓操作</w:t>
      </w:r>
    </w:p>
    <w:p w14:paraId="3DE2DE2B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手续费：考虑佣金（万</w:t>
      </w:r>
      <w:r>
        <w:rPr>
          <w:rFonts w:hint="eastAsia"/>
          <w:lang w:val="en-US" w:eastAsia="zh-CN"/>
        </w:rPr>
        <w:t>1，不足5元按5元算</w:t>
      </w:r>
      <w:r>
        <w:rPr>
          <w:rFonts w:hint="default"/>
          <w:lang w:val="en-US" w:eastAsia="zh-CN"/>
        </w:rPr>
        <w:t>）+ 印花税（千1，卖出收）</w:t>
      </w:r>
    </w:p>
    <w:p w14:paraId="707F727E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考虑涨停买不进和跌停卖不出的情况</w:t>
      </w:r>
    </w:p>
    <w:p w14:paraId="389AF96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计算绩效指标，并与比较买入持有策略进行对比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90"/>
        <w:gridCol w:w="5235"/>
      </w:tblGrid>
      <w:tr w14:paraId="0381C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33110B">
            <w:pPr>
              <w:numPr>
                <w:ilvl w:val="1"/>
                <w:numId w:val="3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总收益率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5C3BA3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(期末/期初) - 1</w:t>
            </w:r>
          </w:p>
        </w:tc>
      </w:tr>
      <w:tr w14:paraId="54966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BC92F3">
            <w:pPr>
              <w:numPr>
                <w:ilvl w:val="1"/>
                <w:numId w:val="3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年化收益率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E545AA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(1+总收益)^(252/天数) - 1</w:t>
            </w:r>
          </w:p>
        </w:tc>
      </w:tr>
      <w:tr w14:paraId="70A7E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A595FF">
            <w:pPr>
              <w:numPr>
                <w:ilvl w:val="1"/>
                <w:numId w:val="3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最大回撤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A0BEDAF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max(1 - 净值/前期高点)</w:t>
            </w:r>
          </w:p>
        </w:tc>
      </w:tr>
      <w:tr w14:paraId="52DD6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A76B20">
            <w:pPr>
              <w:numPr>
                <w:ilvl w:val="1"/>
                <w:numId w:val="3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夏普比率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E42038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(策略收益 - 无风险利率) / 收益标准差 * sqrt(252)</w:t>
            </w:r>
          </w:p>
        </w:tc>
      </w:tr>
      <w:tr w14:paraId="7EFAC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700DA5">
            <w:pPr>
              <w:numPr>
                <w:ilvl w:val="1"/>
                <w:numId w:val="3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交易次数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C08240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完整买卖算一次</w:t>
            </w:r>
          </w:p>
        </w:tc>
      </w:tr>
      <w:tr w14:paraId="3FB0D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1F77E4">
            <w:pPr>
              <w:numPr>
                <w:ilvl w:val="1"/>
                <w:numId w:val="3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胜率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BD6029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盈利交易次数 / 总交易次数</w:t>
            </w:r>
          </w:p>
        </w:tc>
      </w:tr>
      <w:tr w14:paraId="11B79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A7675C">
            <w:pPr>
              <w:numPr>
                <w:ilvl w:val="1"/>
                <w:numId w:val="3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盈亏比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AFF9BD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平均盈利 / 平均亏损</w:t>
            </w:r>
          </w:p>
        </w:tc>
      </w:tr>
    </w:tbl>
    <w:p w14:paraId="2E74C06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绘制图形</w:t>
      </w:r>
    </w:p>
    <w:p w14:paraId="391DC276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子图1：价格 + 买卖点标记；RSI指标图 + 超买超卖区域</w:t>
      </w:r>
    </w:p>
    <w:p w14:paraId="4F4758D1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子图2：持仓状态（0/1，可视化持仓时间）</w:t>
      </w:r>
    </w:p>
    <w:p w14:paraId="06D5A055">
      <w:pPr>
        <w:numPr>
          <w:ilvl w:val="1"/>
          <w:numId w:val="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子图3：策略净值 vs 买入持有净值（对数坐标）</w:t>
      </w:r>
    </w:p>
    <w:p w14:paraId="7351CB3C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子图4：回撤曲线（水下面积图）计算该策略的总收益、最大回撤、夏普比例等</w:t>
      </w:r>
    </w:p>
    <w:p w14:paraId="7FA55661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子图5：每日收益率直方图，横轴为收益率区间，纵轴为每个收益率区间内的天数</w:t>
      </w:r>
    </w:p>
    <w:p w14:paraId="18201374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做成函数，可变参数包括：股票代码、双均线选择、初始资金</w:t>
      </w:r>
    </w:p>
    <w:p w14:paraId="7DF535B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细化研究</w:t>
      </w:r>
    </w:p>
    <w:p w14:paraId="0636C3BA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用沪深300成分股进行回测</w:t>
      </w:r>
    </w:p>
    <w:p w14:paraId="59D3DC58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策略应用的整体效果总结（与买入持有策略对比）</w:t>
      </w:r>
    </w:p>
    <w:p w14:paraId="78BCF757">
      <w:pPr>
        <w:numPr>
          <w:ilvl w:val="3"/>
          <w:numId w:val="3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跑赢基准比例</w:t>
      </w:r>
    </w:p>
    <w:p w14:paraId="6263ABD6">
      <w:pPr>
        <w:numPr>
          <w:ilvl w:val="3"/>
          <w:numId w:val="3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回撤改善比例</w:t>
      </w:r>
    </w:p>
    <w:p w14:paraId="03C9CDED">
      <w:pPr>
        <w:numPr>
          <w:ilvl w:val="3"/>
          <w:numId w:val="3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策略平均回撤 vs 买入持有平均回撤</w:t>
      </w:r>
    </w:p>
    <w:p w14:paraId="2C3E3576">
      <w:pPr>
        <w:numPr>
          <w:ilvl w:val="3"/>
          <w:numId w:val="3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策略平均夏普 vs 买入持有平均夏普</w:t>
      </w:r>
    </w:p>
    <w:p w14:paraId="1DD5EFDB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绘图展示</w:t>
      </w:r>
    </w:p>
    <w:p w14:paraId="0F48A9A8">
      <w:pPr>
        <w:numPr>
          <w:ilvl w:val="3"/>
          <w:numId w:val="3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最大回撤分布对比直方图（本策略 vs 买入持有策略），横轴为最大回撤值，纵轴为股票个数</w:t>
      </w:r>
    </w:p>
    <w:p w14:paraId="06C99208">
      <w:pPr>
        <w:numPr>
          <w:ilvl w:val="3"/>
          <w:numId w:val="3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本策略胜率 vs 盈亏比四象限散点图，横轴为胜率，纵轴为盈亏比，点的颜色为夏普比率</w:t>
      </w:r>
    </w:p>
    <w:p w14:paraId="2D0E24BC">
      <w:pPr>
        <w:numPr>
          <w:ilvl w:val="3"/>
          <w:numId w:val="3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本策略收益率 vs 买入持有策略收益率散点图，横轴为买入持有策略收益率，纵轴为本策略收益率，绘制45°斜向上虚线代表本策略和买入持有策略收益率相同，点的颜色为超额收益</w:t>
      </w:r>
    </w:p>
    <w:p w14:paraId="2E44E5BE">
      <w:pPr>
        <w:numPr>
          <w:ilvl w:val="3"/>
          <w:numId w:val="3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本策略超额收益 vs 回撤改善四象限散点图，横轴为相比买入持有策略的超额收益率，纵轴为相比买入持有策略的回撤改善值，点的颜色为夏普比率</w:t>
      </w:r>
    </w:p>
    <w:p w14:paraId="47997757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调整策略参数并观察效果</w:t>
      </w:r>
    </w:p>
    <w:p w14:paraId="3CD0C0F3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调整RSI计算用的K线数量N</w:t>
      </w:r>
    </w:p>
    <w:p w14:paraId="14C7F0FC"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调整超买超卖区对应的RSI值，如定义大于80为超买区，小于20为超卖区</w:t>
      </w:r>
    </w:p>
    <w:p w14:paraId="2ACFB49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策略总结（整理到excel中）</w:t>
      </w:r>
    </w:p>
    <w:p w14:paraId="4CDF5DF9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策略适用于震荡市场</w:t>
      </w:r>
    </w:p>
    <w:p w14:paraId="3930583E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相关理论：</w:t>
      </w:r>
    </w:p>
    <w:p w14:paraId="18445EE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底背离</w:t>
      </w:r>
      <w:r>
        <w:rPr>
          <w:rFonts w:hint="default"/>
          <w:lang w:val="en-US" w:eastAsia="zh-CN"/>
        </w:rPr>
        <w:t>：价格创新低，但RSI的低点比前一次更高。暗示下跌动能减弱，可能见底反弹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"https://www.gate.com/zh-tw/post/status/15883479"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"https://futures.hexun.com/2025-11-02/222105772.html"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43494F9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顶背离：价格创新高，但RSI的高点比前一次更低。暗示上涨动能不足，可能见顶回落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"https://www.gate.com/zh-tw/post/status/15883479"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"https://futures.hexun.com/2025-11-02/222105772.html" \t "https://chat.deepseek.com/a/chat/s/_blank"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。</w:t>
      </w:r>
    </w:p>
    <w:p w14:paraId="6AC98B8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RSI指标更适合作为出场信号，使用RSI指标作为入场信号其实就是在逆势交易；RSI指标适合波段交易，如果大段连续的上涨，用RSI指标会提前出场。</w:t>
      </w:r>
    </w:p>
    <w:p w14:paraId="7F4EB4C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01F1B8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比较双均线策略和RSI策略</w:t>
      </w:r>
    </w:p>
    <w:p w14:paraId="20079907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参数：双均线采用10日和120日均线；RSI采用前14根K线，30和70为超买超卖区域阈值。两者均为全仓买卖。</w:t>
      </w:r>
    </w:p>
    <w:p w14:paraId="47997B16">
      <w:pPr>
        <w:pStyle w:val="4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515110"/>
            <wp:effectExtent l="0" t="0" r="0" b="8890"/>
            <wp:docPr id="1" name="图片 1" descr="strategy_comparison_histogra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trategy_comparison_histogram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291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两个策略总收益率都是右偏分布，双均线策略更极端一些；</w:t>
      </w:r>
    </w:p>
    <w:p w14:paraId="729BB9A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RSI策略最大回撤小于双均线策略</w:t>
      </w:r>
    </w:p>
    <w:p w14:paraId="5F11FE6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RSI策略胜率明显大于双均线策略</w:t>
      </w:r>
    </w:p>
    <w:p w14:paraId="7896286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BBAB4CE">
      <w:pPr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布林带均值回归</w:t>
      </w:r>
    </w:p>
    <w:p w14:paraId="28FAF52B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逻辑</w:t>
      </w:r>
      <w:r>
        <w:rPr>
          <w:rFonts w:hint="default"/>
          <w:b/>
          <w:bCs/>
          <w:lang w:val="en-US" w:eastAsia="zh-CN"/>
        </w:rPr>
        <w:t>：</w:t>
      </w:r>
      <w:r>
        <w:rPr>
          <w:rFonts w:hint="eastAsia"/>
          <w:b/>
          <w:bCs/>
          <w:lang w:val="en-US" w:eastAsia="zh-CN"/>
        </w:rPr>
        <w:t>均值回归策略；股票价格大概率落在均值±两个标准差内，如果在其外则有很强的均值回归趋势。当价格触及或突破轨道边缘时，预期价格将回归中轨。</w:t>
      </w:r>
    </w:p>
    <w:p w14:paraId="2506AD3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落地方案：</w:t>
      </w:r>
    </w:p>
    <w:p w14:paraId="7138C8C8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数据获取：baostock下载股票每日数据，使用前复权数据</w:t>
      </w:r>
    </w:p>
    <w:p w14:paraId="42F078C2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数据处理：例如处理停牌日的数据、处理分红送股后的数据等；处理思路：先把股价用图像展示出来，整体看看是否有异常；在数据表中把异常数据标出来</w:t>
      </w:r>
    </w:p>
    <w:p w14:paraId="4A9D58E7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标识停牌日：</w:t>
      </w:r>
      <w:r>
        <w:rPr>
          <w:rFonts w:hint="default"/>
          <w:lang w:val="en-US" w:eastAsia="zh-CN"/>
        </w:rPr>
        <w:t>成交量=0</w:t>
      </w:r>
      <w:r>
        <w:rPr>
          <w:rFonts w:hint="eastAsia"/>
          <w:lang w:val="en-US" w:eastAsia="zh-CN"/>
        </w:rPr>
        <w:t>或为空，</w:t>
      </w:r>
      <w:r>
        <w:rPr>
          <w:rFonts w:hint="default"/>
          <w:lang w:val="en-US" w:eastAsia="zh-CN"/>
        </w:rPr>
        <w:t>且价格不变</w:t>
      </w:r>
    </w:p>
    <w:p w14:paraId="2437AA89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标识价格异常：600和000开头的股票涨跌幅超过10%，300开头的股票涨跌幅超过20%的极端情况</w:t>
      </w:r>
    </w:p>
    <w:p w14:paraId="560B573C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处理退市：数据停留在历史某一天，之后再没有更新</w:t>
      </w:r>
    </w:p>
    <w:p w14:paraId="58C95A19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计算布林带</w:t>
      </w:r>
    </w:p>
    <w:p w14:paraId="26D2E589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中轨</w:t>
      </w:r>
      <w:r>
        <w:rPr>
          <w:rFonts w:hint="default"/>
          <w:lang w:val="en-US" w:eastAsia="zh-CN"/>
        </w:rPr>
        <w:t>：20日收盘价的简单移动平均线（SMA）</w:t>
      </w:r>
    </w:p>
    <w:p w14:paraId="1DEF0046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标准差：20日收盘价的标准差</w:t>
      </w:r>
    </w:p>
    <w:p w14:paraId="178B4A7A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上轨：中轨 + 2倍标准差</w:t>
      </w:r>
    </w:p>
    <w:p w14:paraId="26534E8B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下轨：中轨 - 2倍标准差</w:t>
      </w:r>
    </w:p>
    <w:p w14:paraId="6B3AE811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带宽：（上轨 - 下轨）/ 中轨，用于过滤低波动时期（带宽&lt;2%时暂停交易）</w:t>
      </w:r>
    </w:p>
    <w:p w14:paraId="06EAEB1D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生成买入卖出信号</w:t>
      </w:r>
    </w:p>
    <w:p w14:paraId="7DAF9969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买入信号：价格从下轨之下向上穿越下轨，进入下轨与中轨之间，带宽不小于2%</w:t>
      </w:r>
    </w:p>
    <w:p w14:paraId="1C4056A6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卖出信号：价格从上轨之上向下穿越上轨，进入上轨与中轨之间</w:t>
      </w:r>
    </w:p>
    <w:p w14:paraId="29D0FB78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添加信号过滤：连续信号间隔至少5天</w:t>
      </w:r>
    </w:p>
    <w:p w14:paraId="26370606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买入卖出信号必须相间隔产生，即不能连续产生买入信号，或连续产生卖出信号</w:t>
      </w:r>
    </w:p>
    <w:p w14:paraId="79E236F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进行回测：初始资金100万元</w:t>
      </w:r>
    </w:p>
    <w:p w14:paraId="41DA9A2F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买入和卖出均为全仓操作</w:t>
      </w:r>
    </w:p>
    <w:p w14:paraId="0F34D06D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手续费：考虑佣金（万</w:t>
      </w:r>
      <w:r>
        <w:rPr>
          <w:rFonts w:hint="eastAsia"/>
          <w:lang w:val="en-US" w:eastAsia="zh-CN"/>
        </w:rPr>
        <w:t>1，不足5元按5元算</w:t>
      </w:r>
      <w:r>
        <w:rPr>
          <w:rFonts w:hint="default"/>
          <w:lang w:val="en-US" w:eastAsia="zh-CN"/>
        </w:rPr>
        <w:t>）+ 印花税（千1，卖出收）</w:t>
      </w:r>
    </w:p>
    <w:p w14:paraId="48241426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考虑涨停买不进和跌停卖不出的情况</w:t>
      </w:r>
    </w:p>
    <w:p w14:paraId="14816891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买入后止损：买入后亏损5%时触发止损卖出</w:t>
      </w:r>
    </w:p>
    <w:p w14:paraId="3316B86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计算每笔买入的ln(E-比率)，并记录在明细表中</w:t>
      </w:r>
    </w:p>
    <w:p w14:paraId="2F3BCB8B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ln(E-比率)，即分析每个买入信号的优势情况</w:t>
      </w:r>
    </w:p>
    <w:p w14:paraId="75A0CC73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计算公式 ln(E)=ln(买入信号产生后N天内涨幅/买入信号产生后N天内跌幅)</w:t>
      </w:r>
    </w:p>
    <w:p w14:paraId="5244A617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N暂时取10</w:t>
      </w:r>
    </w:p>
    <w:p w14:paraId="5D1081BF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计算绩效指标，并与比较买入持有策略进行对比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86"/>
        <w:gridCol w:w="5235"/>
      </w:tblGrid>
      <w:tr w14:paraId="0887E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20C77D">
            <w:pPr>
              <w:numPr>
                <w:ilvl w:val="1"/>
                <w:numId w:val="4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总收益率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45BF6B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(期末/期初) - 1</w:t>
            </w:r>
          </w:p>
        </w:tc>
      </w:tr>
      <w:tr w14:paraId="6EA02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35CD584">
            <w:pPr>
              <w:numPr>
                <w:ilvl w:val="1"/>
                <w:numId w:val="4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年化收益率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7DC4A5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(1+总收益)^(252/天数) - 1</w:t>
            </w:r>
          </w:p>
        </w:tc>
      </w:tr>
      <w:tr w14:paraId="1F7AD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2C26C2">
            <w:pPr>
              <w:numPr>
                <w:ilvl w:val="1"/>
                <w:numId w:val="4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最大回撤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8E426E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max(1 - 净值/前期高点)</w:t>
            </w:r>
          </w:p>
        </w:tc>
      </w:tr>
      <w:tr w14:paraId="25E39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9CDB77">
            <w:pPr>
              <w:numPr>
                <w:ilvl w:val="1"/>
                <w:numId w:val="4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夏普比率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08E51A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(策略收益 - 无风险利率) / 收益标准差 * sqrt(252)</w:t>
            </w:r>
          </w:p>
        </w:tc>
      </w:tr>
      <w:tr w14:paraId="7A2CE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8378D0">
            <w:pPr>
              <w:numPr>
                <w:ilvl w:val="1"/>
                <w:numId w:val="4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交易次数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127444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完整买卖算一次</w:t>
            </w:r>
          </w:p>
        </w:tc>
      </w:tr>
      <w:tr w14:paraId="55E47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9705AE">
            <w:pPr>
              <w:numPr>
                <w:ilvl w:val="1"/>
                <w:numId w:val="4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胜率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0C182B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盈利交易次数 / 总交易次数</w:t>
            </w:r>
          </w:p>
        </w:tc>
      </w:tr>
      <w:tr w14:paraId="4F627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6D1289">
            <w:pPr>
              <w:numPr>
                <w:ilvl w:val="1"/>
                <w:numId w:val="4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盈亏比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6E781B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平均盈利 / 平均亏损</w:t>
            </w:r>
          </w:p>
        </w:tc>
      </w:tr>
      <w:tr w14:paraId="7DA7D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D486A9">
            <w:pPr>
              <w:numPr>
                <w:ilvl w:val="1"/>
                <w:numId w:val="4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平均ln(E-比率)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1983AEE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Sum(lun(E-比率)) / 买入次数</w:t>
            </w:r>
          </w:p>
        </w:tc>
      </w:tr>
    </w:tbl>
    <w:p w14:paraId="2FB19EF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绘制图形</w:t>
      </w:r>
    </w:p>
    <w:p w14:paraId="4E875BEE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子图1：价格 + 布林带三轨道线 + 买卖点标记</w:t>
      </w:r>
    </w:p>
    <w:p w14:paraId="40C218B0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子图2：持仓状态（0/1，可视化持仓时间）</w:t>
      </w:r>
    </w:p>
    <w:p w14:paraId="4AE46CC3">
      <w:pPr>
        <w:numPr>
          <w:ilvl w:val="1"/>
          <w:numId w:val="4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子图3：策略净值 vs 买入持有净值（对数坐标）</w:t>
      </w:r>
    </w:p>
    <w:p w14:paraId="2634ED42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子图4：回撤曲线（水下面积图）计算该策略的总收益、最大回撤、夏普比例等</w:t>
      </w:r>
    </w:p>
    <w:p w14:paraId="7F21F6BD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子图5：每日收益率直方图，横轴为收益率区间，纵轴为每个收益率区间内的天数</w:t>
      </w:r>
    </w:p>
    <w:p w14:paraId="7F97C923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子图7：每日收盘价到中轨距离的散点图，用以观察距离分布情况是否为随机</w:t>
      </w:r>
    </w:p>
    <w:p w14:paraId="567FA66E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子图8：每日收盘价到中轨距离的直方图，图上标出均值、2倍标准差的位置</w:t>
      </w:r>
    </w:p>
    <w:p w14:paraId="68FA65AB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做成函数，可变参数包括：股票代码、初始资金、布林带计算所需参数、止损标准等</w:t>
      </w:r>
    </w:p>
    <w:p w14:paraId="43DF7DF4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细化研究</w:t>
      </w:r>
    </w:p>
    <w:p w14:paraId="526DAB1D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用沪深300成分股进行回测</w:t>
      </w:r>
    </w:p>
    <w:p w14:paraId="2CE3B3D5">
      <w:pPr>
        <w:numPr>
          <w:ilvl w:val="2"/>
          <w:numId w:val="4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策略应用的整体效果总结（与买入持有策略对比）</w:t>
      </w:r>
    </w:p>
    <w:p w14:paraId="160445BE">
      <w:pPr>
        <w:numPr>
          <w:ilvl w:val="3"/>
          <w:numId w:val="4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跑赢基准比例</w:t>
      </w:r>
    </w:p>
    <w:p w14:paraId="3FCC3686">
      <w:pPr>
        <w:numPr>
          <w:ilvl w:val="3"/>
          <w:numId w:val="4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回撤改善比例</w:t>
      </w:r>
    </w:p>
    <w:p w14:paraId="07B4FFD4">
      <w:pPr>
        <w:numPr>
          <w:ilvl w:val="3"/>
          <w:numId w:val="4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策略平均回撤 vs 买入持有平均回撤</w:t>
      </w:r>
    </w:p>
    <w:p w14:paraId="0FE43AC4">
      <w:pPr>
        <w:numPr>
          <w:ilvl w:val="3"/>
          <w:numId w:val="4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策略平均夏普 vs 买入持有平均夏普</w:t>
      </w:r>
    </w:p>
    <w:p w14:paraId="035DB28D">
      <w:pPr>
        <w:numPr>
          <w:ilvl w:val="3"/>
          <w:numId w:val="4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平均ln(E-比率)的中位数、平均数、最大值、最小值</w:t>
      </w:r>
    </w:p>
    <w:p w14:paraId="006FF563">
      <w:pPr>
        <w:numPr>
          <w:ilvl w:val="3"/>
          <w:numId w:val="4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平均总收益率、平均买入次数、平均胜率、平均盈亏比</w:t>
      </w:r>
    </w:p>
    <w:p w14:paraId="1B554FE7">
      <w:pPr>
        <w:numPr>
          <w:ilvl w:val="2"/>
          <w:numId w:val="4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绘图展示</w:t>
      </w:r>
    </w:p>
    <w:p w14:paraId="299EFF91">
      <w:pPr>
        <w:numPr>
          <w:ilvl w:val="3"/>
          <w:numId w:val="4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最大回撤分布对比直方图（本策略 vs 买入持有策略），横轴为最大回撤值，纵轴为股票个数</w:t>
      </w:r>
    </w:p>
    <w:p w14:paraId="508566BD">
      <w:pPr>
        <w:numPr>
          <w:ilvl w:val="3"/>
          <w:numId w:val="4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本策略胜率 vs 盈亏比四象限散点图，横轴为胜率，纵轴为盈亏比，点的颜色为夏普比率</w:t>
      </w:r>
    </w:p>
    <w:p w14:paraId="0F2BAF72">
      <w:pPr>
        <w:numPr>
          <w:ilvl w:val="3"/>
          <w:numId w:val="4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本策略收益率 vs 买入持有策略收益率散点图，横轴为买入持有策略收益率，纵轴为本策略收益率，绘制45°斜向上虚线代表本策略和买入持有策略收益率相同，点的颜色为超额收益</w:t>
      </w:r>
    </w:p>
    <w:p w14:paraId="1F2EFF50">
      <w:pPr>
        <w:numPr>
          <w:ilvl w:val="3"/>
          <w:numId w:val="4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本策略超额收益 vs 回撤改善四象限散点图，横轴为相比买入持有策略的超额收益率，纵轴为相比买入持有策略的回撤改善值，点的颜色为夏普比率</w:t>
      </w:r>
    </w:p>
    <w:p w14:paraId="3298F5A7">
      <w:pPr>
        <w:numPr>
          <w:ilvl w:val="3"/>
          <w:numId w:val="4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平均ln(E-比率)直方图</w:t>
      </w:r>
    </w:p>
    <w:p w14:paraId="5C98D8A8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调整策略参数并观察效果</w:t>
      </w:r>
    </w:p>
    <w:p w14:paraId="7DCC702C">
      <w:pPr>
        <w:numPr>
          <w:ilvl w:val="2"/>
          <w:numId w:val="4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调整布林带计算用的K线数量N</w:t>
      </w:r>
    </w:p>
    <w:p w14:paraId="1825F1E8">
      <w:pPr>
        <w:numPr>
          <w:ilvl w:val="2"/>
          <w:numId w:val="4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止损标准</w:t>
      </w:r>
    </w:p>
    <w:p w14:paraId="0E81415D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策略与RSI策略对比，同为均值回归策略，两者差异和适用范围</w:t>
      </w:r>
    </w:p>
    <w:p w14:paraId="5E969BF7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策略总结（整理到excel中）</w:t>
      </w:r>
    </w:p>
    <w:p w14:paraId="11332B92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相关理论：</w:t>
      </w:r>
    </w:p>
    <w:p w14:paraId="543BE4D2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用法：突破上轨和下轨、开口和缩口、股价穿越中线；1. 股价从下轨突破中轨买入；从上轨跌破中轨卖出</w:t>
      </w:r>
    </w:p>
    <w:p w14:paraId="74C2F4B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EA4F2CE">
      <w:pPr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专题一：重构代码，规范格式</w:t>
      </w:r>
    </w:p>
    <w:p w14:paraId="3C8DA30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重新整理前三个策略的python代码。构建面向对象的类，主要统一了输入输出格式，统一类方法和命名规则。并增加了多策略对比的类。</w:t>
      </w:r>
    </w:p>
    <w:p w14:paraId="63B91E76">
      <w:pPr>
        <w:widowControl w:val="0"/>
        <w:numPr>
          <w:ilvl w:val="0"/>
          <w:numId w:val="0"/>
        </w:numPr>
        <w:ind w:left="840" w:leftChars="0"/>
        <w:jc w:val="both"/>
        <w:rPr>
          <w:rStyle w:val="8"/>
          <w:rFonts w:hint="default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</w:p>
    <w:p w14:paraId="0E0DD0C9">
      <w:pPr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MACD趋势跟踪</w:t>
      </w:r>
      <w:r>
        <w:rPr>
          <w:rFonts w:hint="eastAsia"/>
          <w:b/>
          <w:bCs/>
          <w:sz w:val="28"/>
          <w:szCs w:val="36"/>
          <w:lang w:val="en-US" w:eastAsia="zh-CN"/>
        </w:rPr>
        <w:t>+ATR风险仓位管理</w:t>
      </w:r>
    </w:p>
    <w:p w14:paraId="7336B24A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指标介绍：</w:t>
      </w:r>
    </w:p>
    <w:p w14:paraId="2921212A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MACD指标</w:t>
      </w:r>
    </w:p>
    <w:p w14:paraId="2BB3B642">
      <w:pPr>
        <w:numPr>
          <w:ilvl w:val="1"/>
          <w:numId w:val="5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名称：指数平滑异同移动平均线</w:t>
      </w:r>
    </w:p>
    <w:p w14:paraId="20298F86">
      <w:pPr>
        <w:numPr>
          <w:ilvl w:val="1"/>
          <w:numId w:val="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参数：12，26，9</w:t>
      </w:r>
    </w:p>
    <w:p w14:paraId="06DEB6AD">
      <w:pPr>
        <w:numPr>
          <w:ilvl w:val="1"/>
          <w:numId w:val="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指标组成和计算：双线（快线DIF，慢线DEA，能量柱，0轴），单线（能量柱，0轴）</w:t>
      </w:r>
    </w:p>
    <w:p w14:paraId="7B7402CF">
      <w:pPr>
        <w:numPr>
          <w:ilvl w:val="2"/>
          <w:numId w:val="5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快线DIF=12EMA-26EMA，表示两根均线的差离值</w:t>
      </w:r>
    </w:p>
    <w:p w14:paraId="50C07FCF">
      <w:pPr>
        <w:numPr>
          <w:ilvl w:val="2"/>
          <w:numId w:val="5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慢线DEA=快线的指数9日移动平均线</w:t>
      </w:r>
    </w:p>
    <w:p w14:paraId="16A87F3B">
      <w:pPr>
        <w:numPr>
          <w:ilvl w:val="2"/>
          <w:numId w:val="5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双线的能量柱：n*（快线DIF-慢线DEA）</w:t>
      </w:r>
    </w:p>
    <w:p w14:paraId="2FFB432F">
      <w:pPr>
        <w:numPr>
          <w:ilvl w:val="2"/>
          <w:numId w:val="5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单线的能量柱：12EMA和26EMA的差离值</w:t>
      </w:r>
    </w:p>
    <w:p w14:paraId="34F192BB">
      <w:pPr>
        <w:numPr>
          <w:ilvl w:val="2"/>
          <w:numId w:val="5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SMA简单移动平均线：N周期的价格直接相加平均；EMA指数移动平均线：近期的价格分配更高的权限</w:t>
      </w:r>
    </w:p>
    <w:p w14:paraId="23D6039A"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ATR指标介绍</w:t>
      </w:r>
    </w:p>
    <w:p w14:paraId="3498CEBD">
      <w:pPr>
        <w:numPr>
          <w:ilvl w:val="1"/>
          <w:numId w:val="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名称：平均波动幅度</w:t>
      </w:r>
    </w:p>
    <w:p w14:paraId="4A3624A5">
      <w:pPr>
        <w:numPr>
          <w:ilvl w:val="1"/>
          <w:numId w:val="5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指标计算：</w:t>
      </w:r>
    </w:p>
    <w:p w14:paraId="3B66C8B2">
      <w:pPr>
        <w:numPr>
          <w:ilvl w:val="2"/>
          <w:numId w:val="5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TR=MAX（最高价-最低价，最高价-前收盘价，前收盘价-最低价）</w:t>
      </w:r>
    </w:p>
    <w:p w14:paraId="0522BD16">
      <w:pPr>
        <w:numPr>
          <w:ilvl w:val="2"/>
          <w:numId w:val="5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ATR=近期N个TR数值求和再平均，N默认为14</w:t>
      </w:r>
    </w:p>
    <w:p w14:paraId="6FA7A17E">
      <w:pPr>
        <w:numPr>
          <w:ilvl w:val="0"/>
          <w:numId w:val="0"/>
        </w:numP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</w:pPr>
    </w:p>
    <w:p w14:paraId="131628B1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落地方案：</w:t>
      </w:r>
    </w:p>
    <w:p w14:paraId="37C36556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数据获取：baostock下载股票每日数据，使用前复权数据</w:t>
      </w:r>
    </w:p>
    <w:p w14:paraId="676A7099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数据处理：例如处理停牌日的数据、处理分红送股后的数据等；处理思路：先把股价用图像展示出来，整体看看是否有异常；在数据表中把异常数据标出来</w:t>
      </w:r>
    </w:p>
    <w:p w14:paraId="7C57B93F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标识停牌日：</w:t>
      </w:r>
      <w:r>
        <w:rPr>
          <w:rFonts w:hint="default"/>
          <w:lang w:val="en-US" w:eastAsia="zh-CN"/>
        </w:rPr>
        <w:t>成交量=0</w:t>
      </w:r>
      <w:r>
        <w:rPr>
          <w:rFonts w:hint="eastAsia"/>
          <w:lang w:val="en-US" w:eastAsia="zh-CN"/>
        </w:rPr>
        <w:t>或为空，</w:t>
      </w:r>
      <w:r>
        <w:rPr>
          <w:rFonts w:hint="default"/>
          <w:lang w:val="en-US" w:eastAsia="zh-CN"/>
        </w:rPr>
        <w:t>且价格不变</w:t>
      </w:r>
    </w:p>
    <w:p w14:paraId="42E829AD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标识价格异常：600和000开头的股票涨跌幅超过10%，300开头的股票涨跌幅超过20%的极端情况</w:t>
      </w:r>
    </w:p>
    <w:p w14:paraId="0E8024EC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处理退市：数据停留在历史某一天，之后再没有更新</w:t>
      </w:r>
    </w:p>
    <w:p w14:paraId="62A4167A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计算相关指标</w:t>
      </w:r>
    </w:p>
    <w:p w14:paraId="64357D58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12EMA：近12交易日收盘价指数移动平均线</w:t>
      </w:r>
    </w:p>
    <w:p w14:paraId="74B36CE7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26EMA：近26交易日收盘价指数移动平均线</w:t>
      </w:r>
    </w:p>
    <w:p w14:paraId="0F76FEF9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DIF：12EMA-26EMA</w:t>
      </w:r>
    </w:p>
    <w:p w14:paraId="63EF828A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DEA：DIF的9日EMA</w:t>
      </w:r>
    </w:p>
    <w:p w14:paraId="1FF34A05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ATR：TR=MAX（最高价-最低价，最高价-前收盘价，前收盘价-最低价），ATR=近期N个TR数值求和再平均，N默认为14</w:t>
      </w:r>
    </w:p>
    <w:p w14:paraId="57A7F8D6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生成买入卖出信号</w:t>
      </w:r>
    </w:p>
    <w:p w14:paraId="763BA995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买入信号：MACD出现金叉（DIF线上穿DEA线），且DIF线位于零轴上方</w:t>
      </w:r>
    </w:p>
    <w:p w14:paraId="3373E85E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卖出信号：MACD出现死叉（DIF线下穿DEA线）</w:t>
      </w:r>
    </w:p>
    <w:p w14:paraId="58737DF8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添加信号过滤：连续信号间隔至少5天（只针对</w:t>
      </w:r>
      <w:r>
        <w:rPr>
          <w:rFonts w:hint="default"/>
          <w:lang w:val="en-US" w:eastAsia="zh-CN"/>
        </w:rPr>
        <w:t>独立的新开仓信号</w:t>
      </w:r>
      <w:r>
        <w:rPr>
          <w:rFonts w:hint="eastAsia"/>
          <w:lang w:val="en-US" w:eastAsia="zh-CN"/>
        </w:rPr>
        <w:t>，加仓不受该规则限制）</w:t>
      </w:r>
    </w:p>
    <w:p w14:paraId="470FE3BD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买入卖出信号必须相间隔产生，即不能连续产生买入信号，或连续产生卖出信号</w:t>
      </w:r>
    </w:p>
    <w:p w14:paraId="187B71EE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进行回测：初始资金100万元</w:t>
      </w:r>
    </w:p>
    <w:p w14:paraId="59FA4A76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仓位管理：</w:t>
      </w:r>
    </w:p>
    <w:p w14:paraId="4B2A7FF2"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每笔交易的风险固定为总资金的2%，无论加仓多少次，总亏损不超过这个风险预算。</w:t>
      </w:r>
    </w:p>
    <w:p w14:paraId="3F812A7F"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首先计算如果一次性满仓，应该买入多少股 总股数 = (总资金 × 2%) ÷ (ATR × 止损倍数)，其中止损倍数取2</w:t>
      </w:r>
    </w:p>
    <w:p w14:paraId="14945331"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总股数按40%，30%，30%分配三次加仓的仓位，后续加仓不进行动态调整，即建仓时锁定风险。</w:t>
      </w:r>
    </w:p>
    <w:p w14:paraId="6FD740FD"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加仓规则：每次加仓点为前一次买入价格+1建仓时点ATR。</w:t>
      </w:r>
    </w:p>
    <w:p w14:paraId="35502BA5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手续费：考虑佣金（万</w:t>
      </w:r>
      <w:r>
        <w:rPr>
          <w:rFonts w:hint="eastAsia"/>
          <w:lang w:val="en-US" w:eastAsia="zh-CN"/>
        </w:rPr>
        <w:t>1，不足5元按5元算</w:t>
      </w:r>
      <w:r>
        <w:rPr>
          <w:rFonts w:hint="default"/>
          <w:lang w:val="en-US" w:eastAsia="zh-CN"/>
        </w:rPr>
        <w:t>）+ 印花税（千1，卖出收）</w:t>
      </w:r>
    </w:p>
    <w:p w14:paraId="7F758684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考虑涨跌停和停牌的情况</w:t>
      </w:r>
    </w:p>
    <w:p w14:paraId="14C32AA6"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买入或加仓信号触发，如果当天是涨停或停牌则不能买入</w:t>
      </w:r>
    </w:p>
    <w:p w14:paraId="176CFE79"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卖出或止盈止损信号触发，如果当天是跌停或停牌则不能卖出</w:t>
      </w:r>
    </w:p>
    <w:p w14:paraId="50A15E58"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遇到不能买入或卖出的情况，往后延一个交易日进行交易操作，直到可以交易为止。</w:t>
      </w:r>
    </w:p>
    <w:p w14:paraId="66B4230B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动态止损：</w:t>
      </w:r>
    </w:p>
    <w:p w14:paraId="7FEAEAE0"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第一次建仓后</w:t>
      </w:r>
      <w:r>
        <w:rPr>
          <w:rFonts w:hint="default"/>
          <w:lang w:val="en-US" w:eastAsia="zh-CN"/>
        </w:rPr>
        <w:t>，止损位设在第一次建仓价 - (</w:t>
      </w:r>
      <w:r>
        <w:rPr>
          <w:rFonts w:hint="eastAsia"/>
          <w:lang w:val="en-US" w:eastAsia="zh-CN"/>
        </w:rPr>
        <w:t>建仓</w:t>
      </w:r>
      <w:r>
        <w:rPr>
          <w:rFonts w:hint="default"/>
          <w:lang w:val="en-US" w:eastAsia="zh-CN"/>
        </w:rPr>
        <w:t>时</w:t>
      </w:r>
      <w:r>
        <w:rPr>
          <w:rFonts w:hint="eastAsia"/>
          <w:lang w:val="en-US" w:eastAsia="zh-CN"/>
        </w:rPr>
        <w:t>点</w:t>
      </w:r>
      <w:r>
        <w:rPr>
          <w:rFonts w:hint="default"/>
          <w:lang w:val="en-US" w:eastAsia="zh-CN"/>
        </w:rPr>
        <w:t>ATR × 止损倍数)</w:t>
      </w:r>
      <w:r>
        <w:rPr>
          <w:rFonts w:hint="eastAsia"/>
          <w:lang w:val="en-US" w:eastAsia="zh-CN"/>
        </w:rPr>
        <w:t>，其中止损倍数取2</w:t>
      </w:r>
    </w:p>
    <w:p w14:paraId="326C14BD"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每次加仓后，需要调整</w:t>
      </w:r>
      <w:r>
        <w:rPr>
          <w:rFonts w:hint="default"/>
          <w:lang w:val="en-US" w:eastAsia="zh-CN"/>
        </w:rPr>
        <w:t>整体持仓的止损线。</w:t>
      </w:r>
      <w:r>
        <w:rPr>
          <w:rFonts w:hint="eastAsia"/>
          <w:lang w:val="en-US" w:eastAsia="zh-CN"/>
        </w:rPr>
        <w:t>将整体止损线上移至</w:t>
      </w:r>
      <w:r>
        <w:rPr>
          <w:rFonts w:hint="default"/>
          <w:lang w:val="en-US" w:eastAsia="zh-CN"/>
        </w:rPr>
        <w:t>整体平均成本下方2倍ATR</w:t>
      </w:r>
      <w:r>
        <w:rPr>
          <w:rFonts w:hint="eastAsia"/>
          <w:lang w:val="en-US" w:eastAsia="zh-CN"/>
        </w:rPr>
        <w:t>，这里的ATR=MIN(建仓时点ATR，当前ATR)，止损线</w:t>
      </w:r>
      <w:r>
        <w:rPr>
          <w:rFonts w:hint="default"/>
          <w:lang w:val="en-US" w:eastAsia="zh-CN"/>
        </w:rPr>
        <w:t>只会收紧，不会放宽</w:t>
      </w:r>
    </w:p>
    <w:p w14:paraId="46FD3B51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动态止盈：</w:t>
      </w:r>
    </w:p>
    <w:p w14:paraId="37A4A7A7"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每日跟踪持仓期间的最高收盘价</w:t>
      </w:r>
    </w:p>
    <w:p w14:paraId="138665E4"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止盈线 = 最高收盘价 - (前一日ATR × 止盈倍数)，其中止盈倍数取2</w:t>
      </w:r>
    </w:p>
    <w:p w14:paraId="207F0473">
      <w:pPr>
        <w:numPr>
          <w:ilvl w:val="2"/>
          <w:numId w:val="6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止盈线只能上移，不能下移</w:t>
      </w:r>
    </w:p>
    <w:p w14:paraId="3E81E8A1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绩效指标（明细表补充）：</w:t>
      </w:r>
    </w:p>
    <w:p w14:paraId="7F8E071D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计算每笔买入的ln(E)，并记录在明细表中。ln(E)=ln(A/B)</w:t>
      </w:r>
    </w:p>
    <w:p w14:paraId="1C04F622"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A=（买入信号产生后10日内最高价 - 买入价）/买入价，若A&lt;0取0</w:t>
      </w:r>
    </w:p>
    <w:p w14:paraId="0EE0A90D"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B=（买入价 - 买入信号产生后10日内最低价）/买入价，若B&lt;0取0</w:t>
      </w:r>
    </w:p>
    <w:p w14:paraId="6F65619B"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注意分子分母均不含交易当天</w:t>
      </w:r>
    </w:p>
    <w:p w14:paraId="6C8B8914">
      <w:pPr>
        <w:numPr>
          <w:ilvl w:val="2"/>
          <w:numId w:val="6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ln(A/B)&gt;10或B=0时值ln(E)=10，ln(A/B)&lt;-10或A=0时取ln(E)=-10</w:t>
      </w:r>
    </w:p>
    <w:p w14:paraId="2BC4B195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滚动年化收益率</w:t>
      </w:r>
    </w:p>
    <w:p w14:paraId="71FA9D59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计算绩效指标，并与比较买入持有策略进行对比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20"/>
        <w:gridCol w:w="5235"/>
      </w:tblGrid>
      <w:tr w14:paraId="0986A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C5DCF6">
            <w:pPr>
              <w:numPr>
                <w:ilvl w:val="1"/>
                <w:numId w:val="6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总收益率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A0B5B6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(期末/期初) - 1</w:t>
            </w:r>
          </w:p>
        </w:tc>
      </w:tr>
      <w:tr w14:paraId="4CAF5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D79BCF">
            <w:pPr>
              <w:numPr>
                <w:ilvl w:val="1"/>
                <w:numId w:val="6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年化收益率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1DD9CF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(1+总收益)^(252/天数) - 1</w:t>
            </w:r>
          </w:p>
        </w:tc>
      </w:tr>
      <w:tr w14:paraId="3C191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556EF4">
            <w:pPr>
              <w:numPr>
                <w:ilvl w:val="1"/>
                <w:numId w:val="6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最大回撤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765CE0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max(1 - 净值/前期高点)</w:t>
            </w:r>
          </w:p>
        </w:tc>
      </w:tr>
      <w:tr w14:paraId="43A19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8F733B">
            <w:pPr>
              <w:numPr>
                <w:ilvl w:val="1"/>
                <w:numId w:val="6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最大回撤恢复时间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88234B7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最大回撤的恢复所花费的时间</w:t>
            </w:r>
          </w:p>
        </w:tc>
      </w:tr>
      <w:tr w14:paraId="69040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F0FE5E">
            <w:pPr>
              <w:numPr>
                <w:ilvl w:val="1"/>
                <w:numId w:val="6"/>
              </w:numPr>
              <w:ind w:left="84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最大恢复时间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082B78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所有回撤中，恢复所用的最长时间</w:t>
            </w:r>
          </w:p>
        </w:tc>
      </w:tr>
      <w:tr w14:paraId="3A1F1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49FF69">
            <w:pPr>
              <w:numPr>
                <w:ilvl w:val="1"/>
                <w:numId w:val="6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夏普比率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C9A54BC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(策略收益 - 无风险利率) / 收益标准差 * sqrt(252)</w:t>
            </w:r>
          </w:p>
        </w:tc>
      </w:tr>
      <w:tr w14:paraId="1E4C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A4449C">
            <w:pPr>
              <w:numPr>
                <w:ilvl w:val="1"/>
                <w:numId w:val="6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卡玛比率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9C250F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年化收益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  <w:lang w:val="en-US" w:eastAsia="zh-CN"/>
              </w:rPr>
              <w:t>最大回撤</w:t>
            </w:r>
          </w:p>
        </w:tc>
      </w:tr>
      <w:tr w14:paraId="56807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0ABD28">
            <w:pPr>
              <w:numPr>
                <w:ilvl w:val="1"/>
                <w:numId w:val="6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交易次数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7EB784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完整买卖算一次</w:t>
            </w:r>
          </w:p>
        </w:tc>
      </w:tr>
      <w:tr w14:paraId="1E551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8822CA2">
            <w:pPr>
              <w:numPr>
                <w:ilvl w:val="1"/>
                <w:numId w:val="6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胜率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861B02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盈利交易次数 / 总交易次数</w:t>
            </w:r>
          </w:p>
        </w:tc>
      </w:tr>
      <w:tr w14:paraId="1D6F6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43915D">
            <w:pPr>
              <w:numPr>
                <w:ilvl w:val="1"/>
                <w:numId w:val="6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盈亏比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C1E071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平均盈利 / 平均亏损</w:t>
            </w:r>
          </w:p>
        </w:tc>
      </w:tr>
      <w:tr w14:paraId="779DB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325094">
            <w:pPr>
              <w:numPr>
                <w:ilvl w:val="1"/>
                <w:numId w:val="6"/>
              </w:numPr>
              <w:ind w:left="84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平均ln(E-比率)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6AB8F2">
            <w:pPr>
              <w:numPr>
                <w:ilvl w:val="0"/>
                <w:numId w:val="0"/>
              </w:numPr>
              <w:ind w:left="420" w:left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Sum(lun(E-比率)) / 买入次数</w:t>
            </w:r>
          </w:p>
        </w:tc>
      </w:tr>
      <w:tr w14:paraId="34246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3227871">
            <w:pPr>
              <w:numPr>
                <w:ilvl w:val="1"/>
                <w:numId w:val="6"/>
              </w:numPr>
              <w:ind w:left="84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加仓贡献率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B27BAF">
            <w:pPr>
              <w:numPr>
                <w:ilvl w:val="0"/>
                <w:numId w:val="0"/>
              </w:numPr>
              <w:ind w:left="420" w:leftChars="0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加仓部分产生的总盈亏</w:t>
            </w:r>
            <w:r>
              <w:rPr>
                <w:rFonts w:hint="eastAsia"/>
                <w:lang w:val="en-US" w:eastAsia="zh-CN"/>
              </w:rPr>
              <w:t>/</w:t>
            </w:r>
            <w:r>
              <w:rPr>
                <w:rFonts w:hint="default"/>
                <w:lang w:val="en-US" w:eastAsia="zh-CN"/>
              </w:rPr>
              <w:t>整个策略的总盈亏</w:t>
            </w:r>
          </w:p>
        </w:tc>
      </w:tr>
    </w:tbl>
    <w:p w14:paraId="3C998EC7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绘制图形</w:t>
      </w:r>
    </w:p>
    <w:p w14:paraId="78B539DC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子图1：价格 + MACD长短线和0轴 + 买卖点标记</w:t>
      </w:r>
    </w:p>
    <w:p w14:paraId="04F7BD9C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子图2：持仓状态（0/1，可视化持仓时间）</w:t>
      </w:r>
    </w:p>
    <w:p w14:paraId="6B06C4CB">
      <w:pPr>
        <w:numPr>
          <w:ilvl w:val="1"/>
          <w:numId w:val="6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子图3：策略净值 vs 买入持有净值（对数坐标）</w:t>
      </w:r>
    </w:p>
    <w:p w14:paraId="3A71B863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子图4：回撤曲线（水下面积图）计算该策略的总收益、最大回撤、夏普比例等</w:t>
      </w:r>
    </w:p>
    <w:p w14:paraId="3DE9DDF4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子图5：每日收益率直方图，横轴为收益率区间，纵轴为每个收益率区间内的天数</w:t>
      </w:r>
    </w:p>
    <w:p w14:paraId="2FC54C5B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子图6：滚动年化收益率折线图</w:t>
      </w:r>
    </w:p>
    <w:p w14:paraId="204C31D8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子图7：滚动年化收益率直方图，横轴为收益率区间，纵轴为每个收益率区间内的天数，画出均值线和左右两个标准差线</w:t>
      </w:r>
    </w:p>
    <w:p w14:paraId="4E66E162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做成函数，可变参数包括：股票代码、初始资金、指标计算所需参数、止损标准等</w:t>
      </w:r>
    </w:p>
    <w:p w14:paraId="7B4D2B81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细化研究</w:t>
      </w:r>
    </w:p>
    <w:p w14:paraId="768FB2FC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用沪深300成分股进行回测</w:t>
      </w:r>
    </w:p>
    <w:p w14:paraId="64178AE6">
      <w:pPr>
        <w:numPr>
          <w:ilvl w:val="2"/>
          <w:numId w:val="6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策略应用的整体效果总结（与买入持有策略对比）</w:t>
      </w:r>
    </w:p>
    <w:p w14:paraId="73457890">
      <w:pPr>
        <w:numPr>
          <w:ilvl w:val="3"/>
          <w:numId w:val="6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跑赢基准比例</w:t>
      </w:r>
    </w:p>
    <w:p w14:paraId="2825F63C">
      <w:pPr>
        <w:numPr>
          <w:ilvl w:val="3"/>
          <w:numId w:val="6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回撤改善比例</w:t>
      </w:r>
    </w:p>
    <w:p w14:paraId="3C77E727">
      <w:pPr>
        <w:numPr>
          <w:ilvl w:val="3"/>
          <w:numId w:val="6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策略平均回撤 vs 买入持有平均回撤</w:t>
      </w:r>
    </w:p>
    <w:p w14:paraId="73002DC3">
      <w:pPr>
        <w:numPr>
          <w:ilvl w:val="3"/>
          <w:numId w:val="6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策略平均夏普 vs 买入持有平均夏普</w:t>
      </w:r>
    </w:p>
    <w:p w14:paraId="7F49C2FE">
      <w:pPr>
        <w:numPr>
          <w:ilvl w:val="3"/>
          <w:numId w:val="6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平均ln(E)的中位数、平均数、最大值、最小值</w:t>
      </w:r>
    </w:p>
    <w:p w14:paraId="20D520C1">
      <w:pPr>
        <w:numPr>
          <w:ilvl w:val="3"/>
          <w:numId w:val="6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滚动年化收益率的中位数、平均数、最大值、最小值、标准差</w:t>
      </w:r>
    </w:p>
    <w:p w14:paraId="338A75B3">
      <w:pPr>
        <w:numPr>
          <w:ilvl w:val="3"/>
          <w:numId w:val="6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平均总收益率、平均买入次数、平均胜率、平均盈亏比</w:t>
      </w:r>
    </w:p>
    <w:p w14:paraId="5BFE2A28">
      <w:pPr>
        <w:numPr>
          <w:ilvl w:val="2"/>
          <w:numId w:val="6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绘图展示</w:t>
      </w:r>
    </w:p>
    <w:p w14:paraId="0C737B1A">
      <w:pPr>
        <w:numPr>
          <w:ilvl w:val="3"/>
          <w:numId w:val="6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最大回撤分布对比直方图（本策略 vs 买入持有策略），横轴为最大回撤值，纵轴为股票个数</w:t>
      </w:r>
    </w:p>
    <w:p w14:paraId="72016E30">
      <w:pPr>
        <w:numPr>
          <w:ilvl w:val="3"/>
          <w:numId w:val="6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本策略胜率 vs 盈亏比四象限散点图，横轴为胜率，纵轴为盈亏比，点的颜色为夏普比率</w:t>
      </w:r>
    </w:p>
    <w:p w14:paraId="75F171F8">
      <w:pPr>
        <w:numPr>
          <w:ilvl w:val="3"/>
          <w:numId w:val="6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本策略收益率 vs 买入持有策略收益率散点图，横轴为买入持有策略收益率，纵轴为本策略收益率，绘制45°斜向上虚线代表本策略和买入持有策略收益率相同，点的颜色为超额收益</w:t>
      </w:r>
    </w:p>
    <w:p w14:paraId="10BBB89C">
      <w:pPr>
        <w:numPr>
          <w:ilvl w:val="3"/>
          <w:numId w:val="6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本策略超额收益 vs 回撤改善四象限散点图，横轴为相比买入持有策略的超额收益率，纵轴为相比买入持有策略的回撤改善值，点的颜色为夏普比率</w:t>
      </w:r>
    </w:p>
    <w:p w14:paraId="6B7DEA2D">
      <w:pPr>
        <w:numPr>
          <w:ilvl w:val="3"/>
          <w:numId w:val="6"/>
        </w:numPr>
        <w:ind w:left="168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平均ln(E)直方图</w:t>
      </w:r>
    </w:p>
    <w:p w14:paraId="7BD7274B">
      <w:pPr>
        <w:numPr>
          <w:ilvl w:val="1"/>
          <w:numId w:val="6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策略与前三个策略对比，尤其是在风险管理和收益率稳定方面的比较</w:t>
      </w:r>
    </w:p>
    <w:p w14:paraId="141430CC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策略总结（整理到excel中）</w:t>
      </w:r>
    </w:p>
    <w:p w14:paraId="3D8CEAB9">
      <w:pPr>
        <w:numPr>
          <w:ilvl w:val="0"/>
          <w:numId w:val="0"/>
        </w:numP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</w:p>
    <w:p w14:paraId="26DE717E">
      <w:pPr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专题二：重构代码，学习backtrader框架</w:t>
      </w:r>
    </w:p>
    <w:p w14:paraId="19C18BA8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前已有的四个策略，将与策略本身无关的公共功能拆出来，创建新的类。例如：风险控制、仓位管理、回测执行等。策略类功能简化，专注于负责计算策略参数，生成买入卖出信号等。另外，将获取数据、数据清洗脚本也构建面向对象的类。</w:t>
      </w:r>
      <w:bookmarkStart w:id="0" w:name="_GoBack"/>
      <w:bookmarkEnd w:id="0"/>
    </w:p>
    <w:p w14:paraId="2685E4C8">
      <w:pPr>
        <w:numPr>
          <w:ilvl w:val="0"/>
          <w:numId w:val="0"/>
        </w:numP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</w:pPr>
    </w:p>
    <w:p w14:paraId="4449CB54">
      <w:pPr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其他常见策略</w:t>
      </w:r>
    </w:p>
    <w:p w14:paraId="621D2905">
      <w:pPr>
        <w:pStyle w:val="5"/>
        <w:keepNext w:val="0"/>
        <w:keepLines w:val="0"/>
        <w:widowControl/>
        <w:suppressLineNumbers w:val="0"/>
        <w:spacing w:before="0" w:beforeAutospacing="0" w:after="80" w:afterAutospacing="0"/>
        <w:ind w:left="0" w:right="0" w:firstLine="42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了解有哪些常见的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量化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策略，简单分析和总结。</w:t>
      </w:r>
    </w:p>
    <w:p w14:paraId="1125DF38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7.1 唐奇安趋势系统</w:t>
      </w:r>
    </w:p>
    <w:p w14:paraId="63AB924E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80" w:afterAutospacing="0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唐奇安通道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这是系统的视觉基础。通道由三条线构成：</w:t>
      </w:r>
    </w:p>
    <w:p w14:paraId="18DAFA55">
      <w:pPr>
        <w:pStyle w:val="5"/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80" w:afterAutospacing="0"/>
        <w:ind w:left="840" w:leftChars="0" w:right="0" w:hanging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上轨：过去N个交易日的最高价。</w:t>
      </w:r>
    </w:p>
    <w:p w14:paraId="4EA9ABB6">
      <w:pPr>
        <w:pStyle w:val="5"/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80" w:afterAutospacing="0"/>
        <w:ind w:left="840" w:leftChars="0" w:right="0" w:hanging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下轨：过去N个交易日的最低价。</w:t>
      </w:r>
    </w:p>
    <w:p w14:paraId="0C1D0C09">
      <w:pPr>
        <w:pStyle w:val="5"/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80" w:afterAutospacing="0"/>
        <w:ind w:left="840" w:leftChars="0" w:right="0" w:hanging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中轨：（上轨 + 下轨）/ 2（有些用法中不包含中轨，或作为止盈参考）。</w:t>
      </w:r>
    </w:p>
    <w:p w14:paraId="0FBDF2BC">
      <w:pPr>
        <w:pStyle w:val="5"/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80" w:afterAutospacing="0"/>
        <w:ind w:left="840" w:leftChars="0" w:right="0" w:hanging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N通常采用20日（短期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，止损用10日突破法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）或55日（长期，海龟交易法则中常用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，止损用20日突破法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）。</w:t>
      </w:r>
    </w:p>
    <w:p w14:paraId="1F765458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80" w:afterAutospacing="0"/>
        <w:ind w:left="0" w:right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入场规则</w:t>
      </w:r>
    </w:p>
    <w:p w14:paraId="04CCC62F">
      <w:pPr>
        <w:pStyle w:val="5"/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80" w:afterAutospacing="0"/>
        <w:ind w:left="840" w:leftChars="0" w:right="0" w:hanging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多头入场：当价格突破上轨（即创下N日新高）时，建立多头头寸（买入）。</w:t>
      </w:r>
    </w:p>
    <w:p w14:paraId="6D1C2441">
      <w:pPr>
        <w:pStyle w:val="5"/>
        <w:keepNext w:val="0"/>
        <w:keepLines w:val="0"/>
        <w:widowControl/>
        <w:numPr>
          <w:ilvl w:val="1"/>
          <w:numId w:val="7"/>
        </w:numPr>
        <w:suppressLineNumbers w:val="0"/>
        <w:spacing w:before="0" w:beforeAutospacing="0" w:after="80" w:afterAutospacing="0"/>
        <w:ind w:left="840" w:leftChars="0" w:right="0" w:hanging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空头入场：当价格突破下轨（即创下N日新低）时，建立空头头寸（卖出）。</w:t>
      </w:r>
    </w:p>
    <w:p w14:paraId="0042ABA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0" w:afterAutospacing="0"/>
        <w:ind w:right="0" w:rightChars="0"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这种策略旨在捕捉“趋势的起点”，不预测顶部或底部，只跟随价格的突破。</w:t>
      </w:r>
    </w:p>
    <w:p w14:paraId="101D67AC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80" w:afterAutospacing="0"/>
        <w:ind w:left="0" w:leftChars="0" w:right="0" w:firstLine="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止损规则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为了控制风险，系统有严格的止损机制：通常使用反向突破作为止损点。</w:t>
      </w:r>
    </w:p>
    <w:p w14:paraId="7354CAD4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0" w:afterAutospacing="0"/>
        <w:ind w:leftChars="0" w:right="0" w:rightChars="0"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例如，如果是持有多头，当价格跌破下轨（或一个更短期通道的下轨，如10日低点）时，平仓离场。</w:t>
      </w:r>
    </w:p>
    <w:p w14:paraId="7FE8713D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80" w:afterAutospacing="0"/>
        <w:ind w:left="0" w:leftChars="0" w:right="0" w:firstLine="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过滤系统（重要）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原始的唐奇安系统为了规避在震荡市中的反复假突破，增加了趋势过滤条件：</w:t>
      </w:r>
    </w:p>
    <w:p w14:paraId="0E61E38F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80" w:afterAutospacing="0"/>
        <w:ind w:right="0" w:rightChars="0" w:firstLine="42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长期均线过滤：通常使用200日均线。只有在价格位于200日均线上方时，才允许做多；位于下方时才允许做空。这确保了只参与主要趋势方向，避免在盘整区间的上下轨频繁交易。</w:t>
      </w:r>
    </w:p>
    <w:p w14:paraId="41124B21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0" w:leftChars="0" w:right="0" w:firstLine="0" w:firstLineChars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头寸规模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这也是唐奇安系统早期的重要贡献之一。它建议利用波动性来调整仓位大小（通常使用平均真实波幅，即ATR）。波动性越大，仓位越小，以保证不同品种的风险贡献度一致。</w:t>
      </w:r>
    </w:p>
    <w:p w14:paraId="7A87E8B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AE20D65">
      <w:pPr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双均线+成交量确认</w:t>
      </w:r>
    </w:p>
    <w:p w14:paraId="5AC8CCB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F2607B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D9A4C6A">
      <w:pPr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专题三：参数对回测结果的影响</w:t>
      </w:r>
    </w:p>
    <w:p w14:paraId="7E00896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例如：布林带策略，用不同的均线回测（100日，120日，...），得到玛卡比率，绘制折线图，分析参数对回测结果的影响。</w:t>
      </w:r>
    </w:p>
    <w:p w14:paraId="406DC96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2922905"/>
            <wp:effectExtent l="0" t="0" r="10795" b="1079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868D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使用t检验，验证不同参数的效果是否相同？</w:t>
      </w:r>
    </w:p>
    <w:p w14:paraId="1069DA8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422215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【过拟合检验】：参数值的微小改变，严重影响回测结果时，很有可能发生了过拟合。</w:t>
      </w:r>
    </w:p>
    <w:p w14:paraId="004AEC8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找到稳定的业绩衡量指标。</w:t>
      </w:r>
    </w:p>
    <w:p w14:paraId="574F57B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DC7A9B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检验指标的稳健型，根据海归交易法则提及的指标进行回测比较（新指标定义见“量化交易相关知识.docx”）：</w:t>
      </w:r>
    </w:p>
    <w:p w14:paraId="48849A4C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玛卡比率 vs 稳健风险回报比率</w:t>
      </w:r>
    </w:p>
    <w:p w14:paraId="4BFCB46F"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夏普比率 vs 稳健夏普比率</w:t>
      </w:r>
    </w:p>
    <w:p w14:paraId="6D54255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7AD666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06BB624">
      <w:pPr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ATR</w:t>
      </w:r>
      <w:r>
        <w:rPr>
          <w:rFonts w:hint="eastAsia"/>
          <w:b/>
          <w:bCs/>
          <w:sz w:val="28"/>
          <w:szCs w:val="36"/>
          <w:lang w:val="en-US" w:eastAsia="zh-CN"/>
        </w:rPr>
        <w:t>波动率指标组合策略（ATR+RSI共振、凯利公式优化）</w:t>
      </w:r>
    </w:p>
    <w:p w14:paraId="7AB29305">
      <w:pPr>
        <w:numPr>
          <w:ilvl w:val="0"/>
          <w:numId w:val="0"/>
        </w:numPr>
        <w:rPr>
          <w:rFonts w:hint="default" w:ascii="Arial" w:hAnsi="Arial" w:eastAsia="宋体" w:cs="Arial"/>
          <w:i/>
          <w:iCs/>
          <w:caps w:val="0"/>
          <w:color w:val="222222"/>
          <w:spacing w:val="0"/>
          <w:sz w:val="19"/>
          <w:szCs w:val="19"/>
          <w:shd w:val="clear" w:fill="FFFFFF"/>
        </w:rPr>
      </w:pPr>
      <w: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RSI超买超卖时，用ATR确认波动强度</w:t>
      </w:r>
      <w:r>
        <w:rPr>
          <w:rFonts w:hint="default" w:ascii="Arial" w:hAnsi="Arial" w:eastAsia="宋体" w:cs="Arial"/>
          <w:i/>
          <w:iCs/>
          <w:caps w:val="0"/>
          <w:color w:val="222222"/>
          <w:spacing w:val="0"/>
          <w:sz w:val="19"/>
          <w:szCs w:val="19"/>
          <w:shd w:val="clear" w:fill="FFFFFF"/>
        </w:rPr>
        <w:t>（案例：当RSI&gt;70且ATR&gt;近期均值，做空胜率68%）</w:t>
      </w:r>
    </w:p>
    <w:p w14:paraId="171E7924">
      <w:pPr>
        <w:numPr>
          <w:ilvl w:val="0"/>
          <w:numId w:val="0"/>
        </w:numP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</w:pPr>
      <w: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投注比例 = 胜率 - (败率 / (平均盈利/平均亏损))</w:t>
      </w: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  <w:t>用ATR计算平均盈利/亏损比值</w:t>
      </w:r>
    </w:p>
    <w:p w14:paraId="62B44959">
      <w:pPr>
        <w:numPr>
          <w:ilvl w:val="0"/>
          <w:numId w:val="0"/>
        </w:numPr>
        <w:rPr>
          <w:rFonts w:ascii="Arial" w:hAnsi="Arial" w:eastAsia="宋体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</w:rPr>
      </w:pPr>
    </w:p>
    <w:p w14:paraId="6A9D6C14">
      <w:pPr>
        <w:numPr>
          <w:ilvl w:val="0"/>
          <w:numId w:val="0"/>
        </w:numP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  <w:lang w:val="en-US" w:eastAsia="zh-CN"/>
        </w:rPr>
        <w:t>平均波动幅度</w:t>
      </w:r>
    </w:p>
    <w:p w14:paraId="5209F534">
      <w:pPr>
        <w:numPr>
          <w:ilvl w:val="0"/>
          <w:numId w:val="0"/>
        </w:numP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  <w:lang w:val="en-US" w:eastAsia="zh-CN"/>
        </w:rPr>
        <w:t>TR=MAX（最高价-最低价，最高价-前收盘价，前收盘价-最低价）</w:t>
      </w:r>
    </w:p>
    <w:p w14:paraId="45E4307A">
      <w:pPr>
        <w:numPr>
          <w:ilvl w:val="0"/>
          <w:numId w:val="0"/>
        </w:numP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  <w:lang w:val="en-US" w:eastAsia="zh-CN"/>
        </w:rPr>
        <w:t>ATR=近期N根K线的TR数值求和再平均</w:t>
      </w:r>
    </w:p>
    <w:p w14:paraId="1B9DAF24">
      <w:pPr>
        <w:numPr>
          <w:ilvl w:val="0"/>
          <w:numId w:val="0"/>
        </w:numP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222222"/>
          <w:spacing w:val="0"/>
          <w:sz w:val="19"/>
          <w:szCs w:val="19"/>
          <w:shd w:val="clear" w:fill="FFFFFF"/>
          <w:lang w:val="en-US" w:eastAsia="zh-CN"/>
        </w:rPr>
        <w:t>N默认为14</w:t>
      </w:r>
    </w:p>
    <w:p w14:paraId="078A60C3">
      <w:pPr>
        <w:numPr>
          <w:ilvl w:val="0"/>
          <w:numId w:val="0"/>
        </w:numPr>
      </w:pPr>
      <w:r>
        <w:drawing>
          <wp:inline distT="0" distB="0" distL="114300" distR="114300">
            <wp:extent cx="5271135" cy="1655445"/>
            <wp:effectExtent l="0" t="0" r="1206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8C988">
      <w:pPr>
        <w:numPr>
          <w:ilvl w:val="0"/>
          <w:numId w:val="0"/>
        </w:numPr>
      </w:pPr>
    </w:p>
    <w:p w14:paraId="13557CE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两方面应用：</w:t>
      </w:r>
    </w:p>
    <w:p w14:paraId="3411EB7C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计算开仓数量</w:t>
      </w:r>
    </w:p>
    <w:p w14:paraId="017E22B2">
      <w:pPr>
        <w:numPr>
          <w:ilvl w:val="1"/>
          <w:numId w:val="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计算价值波动量DV   DV=ATR*合约每点点值</w:t>
      </w:r>
    </w:p>
    <w:p w14:paraId="2E210489">
      <w:pPr>
        <w:numPr>
          <w:ilvl w:val="1"/>
          <w:numId w:val="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计算单笔止损金额   单笔止损金额=账户总资金*1%</w:t>
      </w:r>
    </w:p>
    <w:p w14:paraId="40991762">
      <w:pPr>
        <w:numPr>
          <w:ilvl w:val="1"/>
          <w:numId w:val="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开仓数量=单笔止损金额/波动量DV</w:t>
      </w:r>
    </w:p>
    <w:p w14:paraId="04804B26">
      <w:pPr>
        <w:numPr>
          <w:ilvl w:val="1"/>
          <w:numId w:val="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账户风险金额/ATR</w:t>
      </w:r>
    </w:p>
    <w:p w14:paraId="171E70F4">
      <w:pPr>
        <w:numPr>
          <w:ilvl w:val="0"/>
          <w:numId w:val="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止损和加仓规则</w:t>
      </w:r>
    </w:p>
    <w:p w14:paraId="5C5D9667">
      <w:pPr>
        <w:numPr>
          <w:ilvl w:val="1"/>
          <w:numId w:val="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止损规则   止损=开仓价格-n倍ATR，n为1.5-3倍</w:t>
      </w:r>
    </w:p>
    <w:p w14:paraId="1D30E884">
      <w:pPr>
        <w:numPr>
          <w:ilvl w:val="1"/>
          <w:numId w:val="9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加仓规则   盈利方向突破1/2ATR时加仓，每次加仓止损位置提高1/2倍的ATR</w:t>
      </w:r>
    </w:p>
    <w:p w14:paraId="61D386B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6D915A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ATR异常值：当ATR&gt;过去3个月平均值的2倍时，往往意味着极端行情，需要谨慎</w:t>
      </w:r>
    </w:p>
    <w:p w14:paraId="44ECED4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ATR+移动平均线=趋势过滤器</w:t>
      </w:r>
    </w:p>
    <w:p w14:paraId="039E5F9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价格&gt;均线+ATR上升 》强势多头</w:t>
      </w:r>
    </w:p>
    <w:p w14:paraId="56E1DC31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价格&lt;均线+ATR下降 》弱势盘整</w:t>
      </w:r>
    </w:p>
    <w:p w14:paraId="398ACE1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ATR+布林带=波动性交易系统</w:t>
      </w:r>
    </w:p>
    <w:p w14:paraId="5D5AA29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布林带收窄+ATR历史低位可能有大的突破行情</w:t>
      </w:r>
    </w:p>
    <w:p w14:paraId="7C4B802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ATR+RSI=反转信号</w:t>
      </w:r>
    </w:p>
    <w:p w14:paraId="08CBBE7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RSI超买或超卖+ATR同步放大 》趋势延续可能性大</w:t>
      </w:r>
    </w:p>
    <w:p w14:paraId="77A15EF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RSI超买或超卖+ATR同步缩小 》趋势反转可能性增加</w:t>
      </w:r>
    </w:p>
    <w:p w14:paraId="24EEE16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1E31170">
      <w:pPr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凯利公式仓位管理</w:t>
      </w:r>
    </w:p>
    <w:p w14:paraId="0638D88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195AB3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0E57B8D">
      <w:pPr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default"/>
          <w:b/>
          <w:bCs/>
          <w:sz w:val="28"/>
          <w:szCs w:val="36"/>
          <w:lang w:val="en-US" w:eastAsia="zh-CN"/>
        </w:rPr>
        <w:t>简单的配对交易</w:t>
      </w:r>
    </w:p>
    <w:p w14:paraId="55B8F2D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4285F4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374D749">
      <w:pPr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构建一些指标观察当前市场状况，例如ATR观察当前市场波动率情况、双均线观察目前市场的趋势、RSI观察目前市场超买超卖的情况。定时获取每日数据和跑脚本，并自动推送市场分析报告。</w:t>
      </w:r>
    </w:p>
    <w:p w14:paraId="11F11A3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177892E">
      <w:pPr>
        <w:numPr>
          <w:ilvl w:val="0"/>
          <w:numId w:val="1"/>
        </w:numPr>
        <w:outlineLvl w:val="0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专题四：复权数据对回测的影响</w:t>
      </w:r>
    </w:p>
    <w:p w14:paraId="362CC7D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前复权、后复权、不复权数据如何使用和优缺点分析。</w:t>
      </w:r>
    </w:p>
    <w:p w14:paraId="72D1DC15">
      <w:pPr>
        <w:numPr>
          <w:ilvl w:val="0"/>
          <w:numId w:val="1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第一阶段：理论逻辑与数学本质</w:t>
      </w:r>
    </w:p>
    <w:p w14:paraId="3BA1228C">
      <w:pPr>
        <w:numPr>
          <w:ilvl w:val="1"/>
          <w:numId w:val="1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除权除息事件的数学处理</w:t>
      </w:r>
    </w:p>
    <w:p w14:paraId="2FC2D337">
      <w:pPr>
        <w:numPr>
          <w:ilvl w:val="2"/>
          <w:numId w:val="12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研究分红、送股、配股、转增对股价的数学影响。</w:t>
      </w:r>
    </w:p>
    <w:p w14:paraId="480E9507">
      <w:pPr>
        <w:numPr>
          <w:ilvl w:val="2"/>
          <w:numId w:val="12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推导复权因子的计算公式：复权因子 = 当日收盘价 / 前一日复权收盘价（考虑事件影响）。</w:t>
      </w:r>
    </w:p>
    <w:p w14:paraId="28706B47">
      <w:pPr>
        <w:numPr>
          <w:ilvl w:val="1"/>
          <w:numId w:val="11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获取数据</w:t>
      </w:r>
    </w:p>
    <w:p w14:paraId="389BF133">
      <w:pPr>
        <w:widowControl w:val="0"/>
        <w:numPr>
          <w:ilvl w:val="0"/>
          <w:numId w:val="0"/>
        </w:numPr>
        <w:ind w:left="840" w:leftChars="0" w:firstLine="420" w:firstLineChars="0"/>
        <w:jc w:val="both"/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选取特定的股票，获取三类数据，以及历史分红、送股、配股等事件数据。</w:t>
      </w:r>
    </w:p>
    <w:p w14:paraId="5DE4BFFF">
      <w:pPr>
        <w:numPr>
          <w:ilvl w:val="0"/>
          <w:numId w:val="1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第二阶段：量化策略回测的实证分析</w:t>
      </w:r>
    </w:p>
    <w:p w14:paraId="5F624CF1">
      <w:pPr>
        <w:numPr>
          <w:ilvl w:val="1"/>
          <w:numId w:val="1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选取一只长期高分红股票（如长江电力）和一只多次送转股票（如历史上的牛股）。</w:t>
      </w:r>
    </w:p>
    <w:p w14:paraId="78708FCC">
      <w:pPr>
        <w:numPr>
          <w:ilvl w:val="1"/>
          <w:numId w:val="1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分别基于三种数据运行</w:t>
      </w:r>
      <w:r>
        <w:rPr>
          <w:rFonts w:hint="eastAsia"/>
          <w:lang w:val="en-US" w:eastAsia="zh-CN"/>
        </w:rPr>
        <w:t>以上三个</w:t>
      </w:r>
      <w:r>
        <w:rPr>
          <w:rFonts w:hint="default"/>
          <w:lang w:val="en-US" w:eastAsia="zh-CN"/>
        </w:rPr>
        <w:t>策略。</w:t>
      </w:r>
    </w:p>
    <w:p w14:paraId="304842C1">
      <w:pPr>
        <w:numPr>
          <w:ilvl w:val="1"/>
          <w:numId w:val="13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指标对比：累计收益率、最大回撤、夏普比率。重点观察除权日附近的信号触发差异。</w:t>
      </w:r>
    </w:p>
    <w:p w14:paraId="209C7DB4">
      <w:pPr>
        <w:numPr>
          <w:ilvl w:val="0"/>
          <w:numId w:val="1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第三阶段：应用场景与选择逻辑</w:t>
      </w:r>
    </w:p>
    <w:p w14:paraId="6BA19D32">
      <w:pPr>
        <w:widowControl w:val="0"/>
        <w:numPr>
          <w:ilvl w:val="0"/>
          <w:numId w:val="0"/>
        </w:numPr>
        <w:ind w:left="840" w:leftChars="0"/>
        <w:jc w:val="both"/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8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梳理不同策略受到不同复权数据的影响效果，整理到“量化策略优缺点和适用范围.xlsx”中</w:t>
      </w:r>
    </w:p>
    <w:p w14:paraId="1AFDC20E">
      <w:pP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16"/>
          <w:szCs w:val="16"/>
          <w:shd w:val="clear" w:fill="FFFFFF"/>
          <w:vertAlign w:val="baseline"/>
        </w:rPr>
      </w:pPr>
    </w:p>
    <w:p w14:paraId="416BFD6D">
      <w:pPr>
        <w:widowControl w:val="0"/>
        <w:numPr>
          <w:ilvl w:val="0"/>
          <w:numId w:val="0"/>
        </w:numPr>
        <w:jc w:val="both"/>
        <w:rPr>
          <w:rFonts w:hint="default" w:ascii="Segoe UI" w:hAnsi="Segoe UI" w:eastAsia="宋体" w:cs="Segoe UI"/>
          <w:i w:val="0"/>
          <w:iCs w:val="0"/>
          <w:caps w:val="0"/>
          <w:spacing w:val="0"/>
          <w:sz w:val="16"/>
          <w:szCs w:val="16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DBD40"/>
    <w:multiLevelType w:val="multilevel"/>
    <w:tmpl w:val="BEBDBD4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DDB50544"/>
    <w:multiLevelType w:val="multilevel"/>
    <w:tmpl w:val="DDB50544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F9A3245B"/>
    <w:multiLevelType w:val="multilevel"/>
    <w:tmpl w:val="F9A3245B"/>
    <w:lvl w:ilvl="0" w:tentative="0">
      <w:start w:val="1"/>
      <w:numFmt w:val="decimal"/>
      <w:suff w:val="space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0769A26A"/>
    <w:multiLevelType w:val="multilevel"/>
    <w:tmpl w:val="0769A26A"/>
    <w:lvl w:ilvl="0" w:tentative="0">
      <w:start w:val="1"/>
      <w:numFmt w:val="decimal"/>
      <w:suff w:val="space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09802BCC"/>
    <w:multiLevelType w:val="multilevel"/>
    <w:tmpl w:val="09802BCC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27C205FF"/>
    <w:multiLevelType w:val="multilevel"/>
    <w:tmpl w:val="27C205F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6">
    <w:nsid w:val="2A39F243"/>
    <w:multiLevelType w:val="multilevel"/>
    <w:tmpl w:val="2A39F24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5C7C5ACB"/>
    <w:multiLevelType w:val="singleLevel"/>
    <w:tmpl w:val="5C7C5ACB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5C826BF3"/>
    <w:multiLevelType w:val="multilevel"/>
    <w:tmpl w:val="5C826BF3"/>
    <w:lvl w:ilvl="0" w:tentative="0">
      <w:start w:val="1"/>
      <w:numFmt w:val="decimal"/>
      <w:suff w:val="space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9">
    <w:nsid w:val="63F9B45E"/>
    <w:multiLevelType w:val="multilevel"/>
    <w:tmpl w:val="63F9B45E"/>
    <w:lvl w:ilvl="0" w:tentative="0">
      <w:start w:val="1"/>
      <w:numFmt w:val="decimal"/>
      <w:suff w:val="space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0">
    <w:nsid w:val="6794217E"/>
    <w:multiLevelType w:val="multilevel"/>
    <w:tmpl w:val="6794217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1">
    <w:nsid w:val="68215C32"/>
    <w:multiLevelType w:val="multilevel"/>
    <w:tmpl w:val="68215C32"/>
    <w:lvl w:ilvl="0" w:tentative="0">
      <w:start w:val="1"/>
      <w:numFmt w:val="decimal"/>
      <w:suff w:val="space"/>
      <w:lvlText w:val="（%1）"/>
      <w:lvlJc w:val="left"/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2">
    <w:nsid w:val="7763BD59"/>
    <w:multiLevelType w:val="multilevel"/>
    <w:tmpl w:val="7763BD5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0"/>
  </w:num>
  <w:num w:numId="2">
    <w:abstractNumId w:val="3"/>
  </w:num>
  <w:num w:numId="3">
    <w:abstractNumId w:val="11"/>
  </w:num>
  <w:num w:numId="4">
    <w:abstractNumId w:val="9"/>
  </w:num>
  <w:num w:numId="5">
    <w:abstractNumId w:val="5"/>
  </w:num>
  <w:num w:numId="6">
    <w:abstractNumId w:val="8"/>
  </w:num>
  <w:num w:numId="7">
    <w:abstractNumId w:val="2"/>
  </w:num>
  <w:num w:numId="8">
    <w:abstractNumId w:val="7"/>
  </w:num>
  <w:num w:numId="9">
    <w:abstractNumId w:val="12"/>
  </w:num>
  <w:num w:numId="10">
    <w:abstractNumId w:val="6"/>
  </w:num>
  <w:num w:numId="11">
    <w:abstractNumId w:val="4"/>
  </w:num>
  <w:num w:numId="12">
    <w:abstractNumId w:val="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94F1B"/>
    <w:rsid w:val="019539DB"/>
    <w:rsid w:val="02D27011"/>
    <w:rsid w:val="05A9533E"/>
    <w:rsid w:val="05EA1EEE"/>
    <w:rsid w:val="061123C9"/>
    <w:rsid w:val="09E85BD1"/>
    <w:rsid w:val="0A80736D"/>
    <w:rsid w:val="0C436507"/>
    <w:rsid w:val="0D602B87"/>
    <w:rsid w:val="0E0E5DE7"/>
    <w:rsid w:val="126D3B50"/>
    <w:rsid w:val="12A24E44"/>
    <w:rsid w:val="1AF87A0B"/>
    <w:rsid w:val="1DA27A2B"/>
    <w:rsid w:val="1E2C7007"/>
    <w:rsid w:val="22274D44"/>
    <w:rsid w:val="25543F29"/>
    <w:rsid w:val="258107E5"/>
    <w:rsid w:val="25DC6859"/>
    <w:rsid w:val="27475541"/>
    <w:rsid w:val="28AE04A6"/>
    <w:rsid w:val="29686BF8"/>
    <w:rsid w:val="2A4F1FED"/>
    <w:rsid w:val="2C5801F0"/>
    <w:rsid w:val="2F091701"/>
    <w:rsid w:val="302723B3"/>
    <w:rsid w:val="34AC099C"/>
    <w:rsid w:val="34FE64FD"/>
    <w:rsid w:val="36931680"/>
    <w:rsid w:val="372F4CA7"/>
    <w:rsid w:val="37342C05"/>
    <w:rsid w:val="3AB31226"/>
    <w:rsid w:val="3BD4287C"/>
    <w:rsid w:val="3D1E68EC"/>
    <w:rsid w:val="3E4A0ABE"/>
    <w:rsid w:val="40240024"/>
    <w:rsid w:val="44337F34"/>
    <w:rsid w:val="469D4472"/>
    <w:rsid w:val="471B2762"/>
    <w:rsid w:val="477A45F5"/>
    <w:rsid w:val="485A0768"/>
    <w:rsid w:val="487B299C"/>
    <w:rsid w:val="48CE7B56"/>
    <w:rsid w:val="4A3804C3"/>
    <w:rsid w:val="4A966BA1"/>
    <w:rsid w:val="4CCD0D4F"/>
    <w:rsid w:val="4EF071C5"/>
    <w:rsid w:val="500043B7"/>
    <w:rsid w:val="50742E2C"/>
    <w:rsid w:val="50831EC1"/>
    <w:rsid w:val="53206431"/>
    <w:rsid w:val="56DC5B5C"/>
    <w:rsid w:val="58F70F8F"/>
    <w:rsid w:val="5C8455F9"/>
    <w:rsid w:val="6181638A"/>
    <w:rsid w:val="6218367B"/>
    <w:rsid w:val="63CD72F0"/>
    <w:rsid w:val="678319D8"/>
    <w:rsid w:val="699F653B"/>
    <w:rsid w:val="70106F7F"/>
    <w:rsid w:val="720561FE"/>
    <w:rsid w:val="7304155A"/>
    <w:rsid w:val="73A6219E"/>
    <w:rsid w:val="76B67915"/>
    <w:rsid w:val="786D2DBB"/>
    <w:rsid w:val="79591FF2"/>
    <w:rsid w:val="797A667D"/>
    <w:rsid w:val="7B6B6F27"/>
    <w:rsid w:val="7CD337B4"/>
    <w:rsid w:val="7DE22A43"/>
    <w:rsid w:val="7E62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3880</Words>
  <Characters>4182</Characters>
  <Lines>0</Lines>
  <Paragraphs>0</Paragraphs>
  <TotalTime>261</TotalTime>
  <ScaleCrop>false</ScaleCrop>
  <LinksUpToDate>false</LinksUpToDate>
  <CharactersWithSpaces>4293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2026-03-05T07:11:00Z</dcterms:created>
  <dc:creator>DELL</dc:creator>
  <cp:lastModifiedBy>亭子</cp:lastModifiedBy>
  <dcterms:modified xsi:type="dcterms:W3CDTF">2026-04-29T05:30:12Z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eyJoZGlkIjoiNjg1MWI4Y2NjMTNhNDNhZWNhY2NjNWI0YzdiMmRkYjAiLCJ1c2VySWQiOiI3NDk5Nzg5ODcifQ==</vt:lpwstr>
  </property>
  <property fmtid="{D5CDD505-2E9C-101B-9397-08002B2CF9AE}" pid="4" name="ICV">
    <vt:lpwstr>58F6454C0F214CEE96ECBED76F1BEE5B_12</vt:lpwstr>
  </property>
</Properties>
</file>