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AF40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43C82B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你是一名优秀的金融量化分析师，请帮我写一个python脚本，用于使用</w:t>
      </w:r>
      <w:r>
        <w:rPr>
          <w:rFonts w:hint="eastAsia"/>
          <w:highlight w:val="yellow"/>
          <w:lang w:val="en-US" w:eastAsia="zh-CN"/>
        </w:rPr>
        <w:t>MACD指标结合ATR仓位风险管理</w:t>
      </w:r>
      <w:r>
        <w:rPr>
          <w:rFonts w:hint="eastAsia"/>
          <w:lang w:val="en-US" w:eastAsia="zh-CN"/>
        </w:rPr>
        <w:t>进行回测和效果分析。要求代码最简单化，直接写脚本，不用类和函数。根据我的指示一步一步写。</w:t>
      </w:r>
    </w:p>
    <w:p w14:paraId="2ACA58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288CC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 计算策略指标和交易信号</w:t>
      </w:r>
    </w:p>
    <w:p w14:paraId="032641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首先计算</w:t>
      </w:r>
      <w:r>
        <w:rPr>
          <w:rFonts w:hint="eastAsia"/>
          <w:highlight w:val="yellow"/>
          <w:lang w:val="en-US" w:eastAsia="zh-CN"/>
        </w:rPr>
        <w:t>策略相关</w:t>
      </w:r>
      <w:r>
        <w:rPr>
          <w:rFonts w:hint="eastAsia"/>
          <w:lang w:val="en-US" w:eastAsia="zh-CN"/>
        </w:rPr>
        <w:t>指标和买入卖出信号等。</w:t>
      </w:r>
    </w:p>
    <w:p w14:paraId="48F3DD6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FC26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输入：“</w:t>
      </w:r>
      <w:r>
        <w:rPr>
          <w:rFonts w:hint="eastAsia"/>
          <w:highlight w:val="yellow"/>
          <w:lang w:val="en-US" w:eastAsia="zh-CN"/>
        </w:rPr>
        <w:t>df_pre_002714_停牌9_价格异常4_最大异常涨跌幅12.37%.csv</w:t>
      </w:r>
      <w:r>
        <w:rPr>
          <w:rFonts w:hint="eastAsia"/>
          <w:lang w:val="en-US" w:eastAsia="zh-CN"/>
        </w:rPr>
        <w:t xml:space="preserve">”，需要用到的字段包括“日期、股票代码、开盘、最高、最低、收盘、异常情况、异常涨跌幅”，输入文件编码不固定，请灵活处理。 </w:t>
      </w:r>
    </w:p>
    <w:p w14:paraId="2485AA6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DD8E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处理逻辑：</w:t>
      </w:r>
    </w:p>
    <w:p w14:paraId="1625569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增加字段：</w:t>
      </w:r>
      <w:r>
        <w:rPr>
          <w:rFonts w:hint="eastAsia"/>
          <w:highlight w:val="yellow"/>
          <w:lang w:val="en-US" w:eastAsia="zh-CN"/>
        </w:rPr>
        <w:t>12EMA、26EMA、DIF、DEA、ATR、</w:t>
      </w:r>
      <w:r>
        <w:rPr>
          <w:rFonts w:hint="eastAsia"/>
          <w:lang w:val="en-US" w:eastAsia="zh-CN"/>
        </w:rPr>
        <w:t>交易信号、ln(E)</w:t>
      </w:r>
    </w:p>
    <w:p w14:paraId="69D82610">
      <w:pPr>
        <w:numPr>
          <w:ilvl w:val="0"/>
          <w:numId w:val="1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注意停牌日不参与12EMA、26EMA、ATR这三个指标计算（DIF和DEA这两个指标计算不用排除停牌日），根据“异常情况”字段为“停牌”判断是否为停牌日。例如计算12EMA时，当前12日有3日为停牌日，则剔除这3日，再往前推3日以补足12日收盘价来计算。</w:t>
      </w:r>
    </w:p>
    <w:p w14:paraId="1DECC6B4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12EMA为前12日</w:t>
      </w:r>
      <w:r>
        <w:rPr>
          <w:rFonts w:hint="eastAsia"/>
          <w:color w:val="0000FF"/>
          <w:lang w:val="en-US" w:eastAsia="zh-CN"/>
        </w:rPr>
        <w:t>（不含当日，python中用shift(1)来处理，后续计算的指标同理）</w:t>
      </w:r>
      <w:r>
        <w:rPr>
          <w:rFonts w:hint="eastAsia"/>
          <w:highlight w:val="yellow"/>
          <w:lang w:val="en-US" w:eastAsia="zh-CN"/>
        </w:rPr>
        <w:t>收盘价的指数移动平均线（EMA）。如果数据不够12日，则为空。</w:t>
      </w:r>
    </w:p>
    <w:p w14:paraId="0C0F3FFA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26EMA为前26日收盘价的指数移动平均线，如果数据不够26日，则为空。</w:t>
      </w:r>
    </w:p>
    <w:p w14:paraId="20A57E49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DIF = 12EMA - 26EMA</w:t>
      </w:r>
    </w:p>
    <w:p w14:paraId="5E554AF6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DEA：前9日DIF的指数移动平均线，如果DIF数据不够9日，则为空。</w:t>
      </w:r>
    </w:p>
    <w:p w14:paraId="44A3BC91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ATR：TR=MAX（最高价-最低价，最高价-前收盘价，前收盘价-最低价），ATR=近期14个TR的平均值，如果数据不够14日，则为空。</w:t>
      </w:r>
    </w:p>
    <w:p w14:paraId="35FF6547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交易信号（买入）：</w:t>
      </w:r>
      <w:r>
        <w:rPr>
          <w:rFonts w:hint="eastAsia"/>
          <w:highlight w:val="yellow"/>
          <w:lang w:val="en-US" w:eastAsia="zh-CN"/>
        </w:rPr>
        <w:t>MACD出现金叉（DIF线上穿DEA线），且DIF&gt;0</w:t>
      </w:r>
    </w:p>
    <w:p w14:paraId="1F45A1B7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交易信号（卖出）：</w:t>
      </w:r>
      <w:r>
        <w:rPr>
          <w:rFonts w:hint="eastAsia"/>
          <w:highlight w:val="yellow"/>
          <w:lang w:val="en-US" w:eastAsia="zh-CN"/>
        </w:rPr>
        <w:t>MACD出现死叉（DIF线下穿DEA线）</w:t>
      </w:r>
    </w:p>
    <w:p w14:paraId="71A4B19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买入卖出信号必须相间隔产生，即不能连续产生买入信号，或连续产生卖出信号；连续信号间隔至少5天；首个交易信号必须是买入</w:t>
      </w:r>
    </w:p>
    <w:p w14:paraId="641BA877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ln(E)=ln(A/B)</w:t>
      </w:r>
    </w:p>
    <w:p w14:paraId="1C04F622">
      <w:pPr>
        <w:numPr>
          <w:ilvl w:val="1"/>
          <w:numId w:val="1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A=（买入信号产生后10日内最高价 - 买入价）/买入价，若A&lt;0取0</w:t>
      </w:r>
    </w:p>
    <w:p w14:paraId="0EE0A90D">
      <w:pPr>
        <w:numPr>
          <w:ilvl w:val="1"/>
          <w:numId w:val="1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B=（买入价 - 买入信号产生后10日内最低价）/买入价，若B&lt;0取0</w:t>
      </w:r>
    </w:p>
    <w:p w14:paraId="6F65619B">
      <w:pPr>
        <w:numPr>
          <w:ilvl w:val="1"/>
          <w:numId w:val="1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注意分子分母均不含交易当天</w:t>
      </w:r>
    </w:p>
    <w:p w14:paraId="6C8B8914">
      <w:pPr>
        <w:numPr>
          <w:ilvl w:val="1"/>
          <w:numId w:val="1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ln(A/B)&gt;10或B=0时值ln(E)=10，ln(A/B)&lt;-10或A=0时取ln(E)=-10</w:t>
      </w:r>
    </w:p>
    <w:p w14:paraId="1267991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93940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7A6CD16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包含原始数据的dataframe结构数据，用于后续步骤中使用。可以通过控制台打印部分数据，不用保存到文档。</w:t>
      </w:r>
    </w:p>
    <w:p w14:paraId="68260A7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创建文件夹，文件夹命名规则：XXXX_</w:t>
      </w:r>
      <w:r>
        <w:rPr>
          <w:rFonts w:hint="eastAsia"/>
          <w:highlight w:val="yellow"/>
          <w:lang w:val="en-US" w:eastAsia="zh-CN"/>
        </w:rPr>
        <w:t>MACD_ATR</w:t>
      </w:r>
      <w:r>
        <w:rPr>
          <w:rFonts w:hint="eastAsia"/>
          <w:lang w:val="en-US" w:eastAsia="zh-CN"/>
        </w:rPr>
        <w:t>_回测结果。其中XXXX为股票代码，从文件名中提取，文件名“</w:t>
      </w:r>
      <w:r>
        <w:rPr>
          <w:rFonts w:hint="eastAsia"/>
          <w:highlight w:val="none"/>
          <w:lang w:val="en-US" w:eastAsia="zh-CN"/>
        </w:rPr>
        <w:t>df_pre_</w:t>
      </w:r>
      <w:r>
        <w:rPr>
          <w:rFonts w:hint="eastAsia"/>
          <w:lang w:val="en-US" w:eastAsia="zh-CN"/>
        </w:rPr>
        <w:t>”后接的数字即为股票代码。本次为空文件夹，没有需要保存的内容。</w:t>
      </w:r>
    </w:p>
    <w:p w14:paraId="0DADB9C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282E0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26E760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 进行策略回测，计算绩效指标和绘图</w:t>
      </w:r>
    </w:p>
    <w:p w14:paraId="541902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之前代码后面，接下来写第二步，策略回测并计算绩效指标和绘图。如果之前代码需要修改，请告诉我具体修改的位置和修改后的内容，否则只提供第二步代码。本次只保存图片，图片保存到之前创建的空文件夹中，其他文件不用保存。</w:t>
      </w:r>
    </w:p>
    <w:p w14:paraId="573AD8A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2742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回测相关参数（注意判断初始化参数赋值时用整数型还是浮点型）：</w:t>
      </w:r>
    </w:p>
    <w:p w14:paraId="79E236F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初始资金</w:t>
      </w:r>
      <w:r>
        <w:rPr>
          <w:rFonts w:hint="eastAsia"/>
          <w:highlight w:val="yellow"/>
          <w:lang w:val="en-US" w:eastAsia="zh-CN"/>
        </w:rPr>
        <w:t>100万元</w:t>
      </w:r>
    </w:p>
    <w:p w14:paraId="41DA9A2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根据交易信号操作</w:t>
      </w:r>
      <w:r>
        <w:rPr>
          <w:rFonts w:hint="eastAsia"/>
          <w:highlight w:val="yellow"/>
          <w:lang w:val="en-US" w:eastAsia="zh-CN"/>
        </w:rPr>
        <w:t>，卖出为全仓操作，买入根据下面的仓位管理规则操作；</w:t>
      </w:r>
    </w:p>
    <w:p w14:paraId="42C3A8A5">
      <w:pPr>
        <w:numPr>
          <w:ilvl w:val="0"/>
          <w:numId w:val="3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仓位管理：</w:t>
      </w:r>
    </w:p>
    <w:p w14:paraId="4B2A7FF2">
      <w:pPr>
        <w:numPr>
          <w:ilvl w:val="1"/>
          <w:numId w:val="3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每笔交易的风险预算为总资金的2%</w:t>
      </w:r>
    </w:p>
    <w:p w14:paraId="6E8C4227">
      <w:pPr>
        <w:numPr>
          <w:ilvl w:val="1"/>
          <w:numId w:val="3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首先计算如果一次性满仓，可买入股数：总股数 = (总资金 × 2%) ÷ (ATR × 2)</w:t>
      </w:r>
    </w:p>
    <w:p w14:paraId="14945331">
      <w:pPr>
        <w:numPr>
          <w:ilvl w:val="1"/>
          <w:numId w:val="3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总股数按40%，30%，30%分配三次加仓的仓位</w:t>
      </w:r>
    </w:p>
    <w:p w14:paraId="46D44FFE">
      <w:pPr>
        <w:numPr>
          <w:ilvl w:val="1"/>
          <w:numId w:val="3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加仓规则：每次加仓点为前一次买入价格 + 建仓时点ATR。</w:t>
      </w:r>
    </w:p>
    <w:p w14:paraId="581CAEC1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处理：原始文件的“异常情况”字段，包括“价格异常”和“停牌”两类异常，“停牌”当天不能交易。“价格异常”看“异常涨跌幅”字段，“异常涨跌幅”为正时，不允许买入，为负时不允许卖出。如异常日有交易信号且无法交易，则往后延一个日交易，直到可以交易为止。</w:t>
      </w:r>
    </w:p>
    <w:p w14:paraId="0F34D06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手续费：考虑佣金（</w:t>
      </w:r>
      <w:r>
        <w:rPr>
          <w:rFonts w:hint="default"/>
          <w:highlight w:val="yellow"/>
          <w:lang w:val="en-US" w:eastAsia="zh-CN"/>
        </w:rPr>
        <w:t>万</w:t>
      </w:r>
      <w:r>
        <w:rPr>
          <w:rFonts w:hint="eastAsia"/>
          <w:highlight w:val="yellow"/>
          <w:lang w:val="en-US" w:eastAsia="zh-CN"/>
        </w:rPr>
        <w:t>1，不足5元按5元算</w:t>
      </w:r>
      <w:r>
        <w:rPr>
          <w:rFonts w:hint="default"/>
          <w:lang w:val="en-US" w:eastAsia="zh-CN"/>
        </w:rPr>
        <w:t>）+ 印花税（</w:t>
      </w:r>
      <w:r>
        <w:rPr>
          <w:rFonts w:hint="default"/>
          <w:highlight w:val="yellow"/>
          <w:lang w:val="en-US" w:eastAsia="zh-CN"/>
        </w:rPr>
        <w:t>千1</w:t>
      </w:r>
      <w:r>
        <w:rPr>
          <w:rFonts w:hint="default"/>
          <w:lang w:val="en-US" w:eastAsia="zh-CN"/>
        </w:rPr>
        <w:t>，卖出收）</w:t>
      </w:r>
    </w:p>
    <w:p w14:paraId="7F80EB4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买入时需要考虑剩余资金是否足够支付手续费的问题，如果不够支付，则减少100股，直到刚好够付手续费为止</w:t>
      </w:r>
    </w:p>
    <w:p w14:paraId="32B0EC34">
      <w:pPr>
        <w:numPr>
          <w:ilvl w:val="0"/>
          <w:numId w:val="3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动态止损：</w:t>
      </w:r>
    </w:p>
    <w:p w14:paraId="7FEAEAE0">
      <w:pPr>
        <w:numPr>
          <w:ilvl w:val="1"/>
          <w:numId w:val="3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第一次建仓后</w:t>
      </w:r>
      <w:r>
        <w:rPr>
          <w:rFonts w:hint="default"/>
          <w:highlight w:val="yellow"/>
          <w:lang w:val="en-US" w:eastAsia="zh-CN"/>
        </w:rPr>
        <w:t>，止损位设在第一次建仓价 - (</w:t>
      </w:r>
      <w:r>
        <w:rPr>
          <w:rFonts w:hint="eastAsia"/>
          <w:highlight w:val="yellow"/>
          <w:lang w:val="en-US" w:eastAsia="zh-CN"/>
        </w:rPr>
        <w:t>建仓</w:t>
      </w:r>
      <w:r>
        <w:rPr>
          <w:rFonts w:hint="default"/>
          <w:highlight w:val="yellow"/>
          <w:lang w:val="en-US" w:eastAsia="zh-CN"/>
        </w:rPr>
        <w:t>时</w:t>
      </w:r>
      <w:r>
        <w:rPr>
          <w:rFonts w:hint="eastAsia"/>
          <w:highlight w:val="yellow"/>
          <w:lang w:val="en-US" w:eastAsia="zh-CN"/>
        </w:rPr>
        <w:t>点</w:t>
      </w:r>
      <w:r>
        <w:rPr>
          <w:rFonts w:hint="default"/>
          <w:highlight w:val="yellow"/>
          <w:lang w:val="en-US" w:eastAsia="zh-CN"/>
        </w:rPr>
        <w:t xml:space="preserve">ATR × </w:t>
      </w:r>
      <w:r>
        <w:rPr>
          <w:rFonts w:hint="eastAsia"/>
          <w:highlight w:val="yellow"/>
          <w:lang w:val="en-US" w:eastAsia="zh-CN"/>
        </w:rPr>
        <w:t>2</w:t>
      </w:r>
      <w:r>
        <w:rPr>
          <w:rFonts w:hint="default"/>
          <w:highlight w:val="yellow"/>
          <w:lang w:val="en-US" w:eastAsia="zh-CN"/>
        </w:rPr>
        <w:t>)</w:t>
      </w:r>
    </w:p>
    <w:p w14:paraId="326C14BD">
      <w:pPr>
        <w:numPr>
          <w:ilvl w:val="1"/>
          <w:numId w:val="3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每次加仓后，需要调整</w:t>
      </w:r>
      <w:r>
        <w:rPr>
          <w:rFonts w:hint="default"/>
          <w:highlight w:val="yellow"/>
          <w:lang w:val="en-US" w:eastAsia="zh-CN"/>
        </w:rPr>
        <w:t>整体持仓的止损线。</w:t>
      </w:r>
      <w:r>
        <w:rPr>
          <w:rFonts w:hint="eastAsia"/>
          <w:highlight w:val="yellow"/>
          <w:lang w:val="en-US" w:eastAsia="zh-CN"/>
        </w:rPr>
        <w:t>将整体止损线上移至</w:t>
      </w:r>
      <w:r>
        <w:rPr>
          <w:rFonts w:hint="default"/>
          <w:highlight w:val="yellow"/>
          <w:lang w:val="en-US" w:eastAsia="zh-CN"/>
        </w:rPr>
        <w:t>整体平均成本下方2倍ATR</w:t>
      </w:r>
      <w:r>
        <w:rPr>
          <w:rFonts w:hint="eastAsia"/>
          <w:highlight w:val="yellow"/>
          <w:lang w:val="en-US" w:eastAsia="zh-CN"/>
        </w:rPr>
        <w:t>处，这里的ATR=MIN(建仓时点ATR，当前ATR)，止损线</w:t>
      </w:r>
      <w:r>
        <w:rPr>
          <w:rFonts w:hint="default"/>
          <w:highlight w:val="yellow"/>
          <w:lang w:val="en-US" w:eastAsia="zh-CN"/>
        </w:rPr>
        <w:t>只收紧，不放宽</w:t>
      </w:r>
    </w:p>
    <w:p w14:paraId="20868D68">
      <w:pPr>
        <w:numPr>
          <w:ilvl w:val="0"/>
          <w:numId w:val="3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动态止盈：</w:t>
      </w:r>
    </w:p>
    <w:p w14:paraId="37A4A7A7">
      <w:pPr>
        <w:numPr>
          <w:ilvl w:val="1"/>
          <w:numId w:val="3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每日跟踪持仓期间的最高收盘价</w:t>
      </w:r>
    </w:p>
    <w:p w14:paraId="138665E4">
      <w:pPr>
        <w:numPr>
          <w:ilvl w:val="1"/>
          <w:numId w:val="3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止盈线 = 最高收盘价 - (当前ATR × 2)</w:t>
      </w:r>
    </w:p>
    <w:p w14:paraId="207F0473">
      <w:pPr>
        <w:numPr>
          <w:ilvl w:val="1"/>
          <w:numId w:val="3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止盈线只能上移，不能下移</w:t>
      </w:r>
    </w:p>
    <w:p w14:paraId="4850EFE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E95014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绩效指标（分别计算本策略和买入持有策略的绩效指标，并在控制台以表格的形式展示，方便比较本策略和买入持有策略）：</w:t>
      </w:r>
    </w:p>
    <w:p w14:paraId="4029E8E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总收益率=</w:t>
      </w:r>
      <w:r>
        <w:rPr>
          <w:rFonts w:hint="default"/>
          <w:lang w:val="en-US" w:eastAsia="zh-CN"/>
        </w:rPr>
        <w:t>(期末/期初) - 1</w:t>
      </w:r>
      <w:r>
        <w:rPr>
          <w:rFonts w:hint="eastAsia"/>
          <w:lang w:val="en-US" w:eastAsia="zh-CN"/>
        </w:rPr>
        <w:t>；</w:t>
      </w:r>
    </w:p>
    <w:p w14:paraId="2380448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年化收益率=</w:t>
      </w:r>
      <w:r>
        <w:rPr>
          <w:rFonts w:hint="default"/>
          <w:lang w:val="en-US" w:eastAsia="zh-CN"/>
        </w:rPr>
        <w:t>(1+总收益)^(252/天数) - 1</w:t>
      </w:r>
      <w:r>
        <w:rPr>
          <w:rFonts w:hint="eastAsia"/>
          <w:lang w:val="en-US" w:eastAsia="zh-CN"/>
        </w:rPr>
        <w:t>；</w:t>
      </w:r>
    </w:p>
    <w:p w14:paraId="404D74F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最大回撤率=</w:t>
      </w:r>
      <w:r>
        <w:rPr>
          <w:rFonts w:hint="default"/>
          <w:lang w:val="en-US" w:eastAsia="zh-CN"/>
        </w:rPr>
        <w:t>max(1 - 净值/前期高点)</w:t>
      </w:r>
      <w:r>
        <w:rPr>
          <w:rFonts w:hint="eastAsia"/>
          <w:lang w:val="en-US" w:eastAsia="zh-CN"/>
        </w:rPr>
        <w:t>；注意最大回撤率是正数，后续涉及回撤的数字都是正数</w:t>
      </w:r>
    </w:p>
    <w:p w14:paraId="51B92B4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最大回撤恢复时间：最大回撤的恢复所花费的时间</w:t>
      </w:r>
    </w:p>
    <w:p w14:paraId="2F7B5BC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最大恢复时间：所有回撤中，恢复所用的最长时间</w:t>
      </w:r>
    </w:p>
    <w:p w14:paraId="0EC578B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夏普比率=</w:t>
      </w:r>
      <w:r>
        <w:rPr>
          <w:rFonts w:hint="default"/>
          <w:lang w:val="en-US" w:eastAsia="zh-CN"/>
        </w:rPr>
        <w:t>(策略收益 - 无风险利率) / 收益标准差 * sqrt(252)</w:t>
      </w:r>
      <w:r>
        <w:rPr>
          <w:rFonts w:hint="eastAsia"/>
          <w:lang w:val="en-US" w:eastAsia="zh-CN"/>
        </w:rPr>
        <w:t>，无风险利率用2%算</w:t>
      </w:r>
    </w:p>
    <w:p w14:paraId="131E1DD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卡玛比率</w:t>
      </w:r>
      <w:r>
        <w:rPr>
          <w:rFonts w:hint="eastAsia"/>
          <w:lang w:val="en-US" w:eastAsia="zh-CN"/>
        </w:rPr>
        <w:t>=</w:t>
      </w:r>
      <w:r>
        <w:rPr>
          <w:rFonts w:hint="default"/>
          <w:lang w:val="en-US" w:eastAsia="zh-CN"/>
        </w:rPr>
        <w:t>年化收益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最大回撤</w:t>
      </w:r>
      <w:r>
        <w:rPr>
          <w:rFonts w:hint="eastAsia"/>
          <w:lang w:val="en-US" w:eastAsia="zh-CN"/>
        </w:rPr>
        <w:t>率</w:t>
      </w:r>
    </w:p>
    <w:p w14:paraId="4854E61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交易次数：</w:t>
      </w:r>
      <w:r>
        <w:rPr>
          <w:rFonts w:hint="default"/>
          <w:lang w:val="en-US" w:eastAsia="zh-CN"/>
        </w:rPr>
        <w:t>完整买卖算一次</w:t>
      </w:r>
    </w:p>
    <w:p w14:paraId="133B0DF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胜率=</w:t>
      </w:r>
      <w:r>
        <w:rPr>
          <w:rFonts w:hint="default"/>
          <w:lang w:val="en-US" w:eastAsia="zh-CN"/>
        </w:rPr>
        <w:t>盈利交易次数 / 总交易次数</w:t>
      </w:r>
    </w:p>
    <w:p w14:paraId="0791E39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盈亏比=</w:t>
      </w:r>
      <w:r>
        <w:rPr>
          <w:rFonts w:hint="default"/>
          <w:lang w:val="en-US" w:eastAsia="zh-CN"/>
        </w:rPr>
        <w:t>平均盈利 / 平均亏损</w:t>
      </w:r>
    </w:p>
    <w:p w14:paraId="71C0FA2A">
      <w:pPr>
        <w:numPr>
          <w:ilvl w:val="0"/>
          <w:numId w:val="4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平均ln(E)=Sum(ln(E)) / 买入次数，ln(E)为上一步计算的E比率</w:t>
      </w:r>
    </w:p>
    <w:p w14:paraId="1192CBAA">
      <w:pPr>
        <w:numPr>
          <w:ilvl w:val="0"/>
          <w:numId w:val="4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加仓贡献率=</w:t>
      </w:r>
      <w:r>
        <w:rPr>
          <w:rFonts w:hint="default"/>
          <w:highlight w:val="none"/>
          <w:lang w:val="en-US" w:eastAsia="zh-CN"/>
        </w:rPr>
        <w:t>加仓部分产生的总盈亏</w:t>
      </w:r>
      <w:r>
        <w:rPr>
          <w:rFonts w:hint="eastAsia"/>
          <w:highlight w:val="none"/>
          <w:lang w:val="en-US" w:eastAsia="zh-CN"/>
        </w:rPr>
        <w:t>/</w:t>
      </w:r>
      <w:r>
        <w:rPr>
          <w:rFonts w:hint="default"/>
          <w:highlight w:val="none"/>
          <w:lang w:val="en-US" w:eastAsia="zh-CN"/>
        </w:rPr>
        <w:t>整个策略的总盈亏</w:t>
      </w:r>
    </w:p>
    <w:p w14:paraId="0CCA2FA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16972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绘图并保存（每张子图占一行）：</w:t>
      </w:r>
    </w:p>
    <w:p w14:paraId="4E875BEE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子图1：价格和</w:t>
      </w:r>
      <w:r>
        <w:rPr>
          <w:rFonts w:hint="eastAsia"/>
          <w:highlight w:val="yellow"/>
          <w:lang w:val="en-US" w:eastAsia="zh-CN"/>
        </w:rPr>
        <w:t>12EMA、26EMA</w:t>
      </w:r>
      <w:r>
        <w:rPr>
          <w:rFonts w:hint="eastAsia"/>
          <w:lang w:val="en-US" w:eastAsia="zh-CN"/>
        </w:rPr>
        <w:t xml:space="preserve"> + 买卖点标记（图上标记小一些，避免影响视觉效果）</w:t>
      </w:r>
    </w:p>
    <w:p w14:paraId="188D9395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子图2：</w:t>
      </w:r>
      <w:r>
        <w:rPr>
          <w:rFonts w:hint="eastAsia"/>
          <w:highlight w:val="yellow"/>
          <w:lang w:val="en-US" w:eastAsia="zh-CN"/>
        </w:rPr>
        <w:t>DIF、DEA和0轴</w:t>
      </w:r>
    </w:p>
    <w:p w14:paraId="40C218B0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子图3：持仓状态（0/1，可视化持仓时间）</w:t>
      </w:r>
    </w:p>
    <w:p w14:paraId="4AE46CC3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子图4：策略净值 vs 买入持有净值（对数坐标）</w:t>
      </w:r>
    </w:p>
    <w:p w14:paraId="2634ED42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子图5：回撤曲线（水下面积图）计算该策略的总收益、最大回撤、夏普比例等</w:t>
      </w:r>
    </w:p>
    <w:p w14:paraId="7F21F6BD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子图6：每日收益率直方图，横轴为收益率区间，纵轴为每个收益率区间内的天数</w:t>
      </w:r>
    </w:p>
    <w:p w14:paraId="2FC54C5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子图7：滚动年化收益率折线图</w:t>
      </w:r>
    </w:p>
    <w:p w14:paraId="5482F5AF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子图8：滚动年化收益率直方图，横轴为收益率区间，纵轴为每个收益率区间内的天数，画出均值线和左右两个标准差线</w:t>
      </w:r>
    </w:p>
    <w:p w14:paraId="4313ED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DA0B4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注意事项：matplotlib字体问题解决方案</w:t>
      </w:r>
    </w:p>
    <w:p w14:paraId="4187F72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设置matplotlib中文字体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matplotlib.rcParams['font.sans-serif'] = ['SimHei', 'Arial Unicode MS', 'DejaVu Sans']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matplotlib.rcParams['axes.unicode_minus'] = False</w:t>
      </w:r>
    </w:p>
    <w:p w14:paraId="0C4FB4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90153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647F4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 生成回测报告</w:t>
      </w:r>
    </w:p>
    <w:p w14:paraId="7EE4334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在之前代码后面，接下来写第三部分，生成策略回测报告。如果之前代码需要修改，请告诉我具体修改的位置和修改后的内容。</w:t>
      </w:r>
    </w:p>
    <w:p w14:paraId="136678F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64E3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要求报告为excel文档，文档保存到之前创建的文件夹中。文档命名规则：XXXX_</w:t>
      </w:r>
      <w:r>
        <w:rPr>
          <w:rFonts w:hint="eastAsia"/>
          <w:highlight w:val="yellow"/>
          <w:lang w:val="en-US" w:eastAsia="zh-CN"/>
        </w:rPr>
        <w:t>MACD_ATR</w:t>
      </w:r>
      <w:r>
        <w:rPr>
          <w:rFonts w:hint="eastAsia"/>
          <w:lang w:val="en-US" w:eastAsia="zh-CN"/>
        </w:rPr>
        <w:t>_回测报告。其中XXXX为股票代码。文档包含四个sheet页，使用第一步和第二步中计算出来的数据，具体要求如下。</w:t>
      </w:r>
    </w:p>
    <w:p w14:paraId="4B8DB5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6A41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Sheet1：参数说明</w:t>
      </w:r>
    </w:p>
    <w:p w14:paraId="0C1680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列出所使用的参数及取值。第一列“参数名称”，第二列“参数值”</w:t>
      </w:r>
    </w:p>
    <w:p w14:paraId="32524B7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Sheet2：绩效指标</w:t>
      </w:r>
    </w:p>
    <w:p w14:paraId="09DE2A9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本策略和买入持有策略的各项绩效指标。第一列“指标名称”，第二列“本策略指标值”，第三列“买入持有指标值”。具体指标为：总收益率、年化收益率、最大回撤、最大回撤恢复时间、最大恢复时间、夏普比率、卡玛比率、交易次数、胜率、盈亏比</w:t>
      </w:r>
      <w:r>
        <w:rPr>
          <w:rFonts w:hint="eastAsia"/>
          <w:highlight w:val="yellow"/>
          <w:lang w:val="en-US" w:eastAsia="zh-CN"/>
        </w:rPr>
        <w:t>、平均ln(E)、</w:t>
      </w:r>
      <w:r>
        <w:rPr>
          <w:rFonts w:hint="eastAsia"/>
          <w:lang w:val="en-US" w:eastAsia="zh-CN"/>
        </w:rPr>
        <w:t>加仓贡献率</w:t>
      </w:r>
    </w:p>
    <w:p w14:paraId="0D01E2F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Sheet3：日度数据</w:t>
      </w:r>
    </w:p>
    <w:p w14:paraId="1A131D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在第一步输入的数据表基础上增加字段：</w:t>
      </w:r>
      <w:r>
        <w:rPr>
          <w:rFonts w:hint="eastAsia"/>
          <w:highlight w:val="yellow"/>
          <w:lang w:val="en-US" w:eastAsia="zh-CN"/>
        </w:rPr>
        <w:t>12EMA、26EMA、DIF、DEA、ATR、</w:t>
      </w:r>
      <w:r>
        <w:rPr>
          <w:rFonts w:hint="eastAsia"/>
          <w:lang w:val="en-US" w:eastAsia="zh-CN"/>
        </w:rPr>
        <w:t>交易信号</w:t>
      </w:r>
      <w:r>
        <w:rPr>
          <w:rFonts w:hint="eastAsia"/>
          <w:highlight w:val="yellow"/>
          <w:lang w:val="en-US" w:eastAsia="zh-CN"/>
        </w:rPr>
        <w:t>、ln(E)</w:t>
      </w:r>
      <w:r>
        <w:rPr>
          <w:rFonts w:hint="eastAsia"/>
          <w:lang w:val="en-US" w:eastAsia="zh-CN"/>
        </w:rPr>
        <w:t>、策略净值、持仓市值、可用资金、总资产、回撤率、日收益率、累计收益率、滚动年化收益率</w:t>
      </w:r>
    </w:p>
    <w:p w14:paraId="380F22D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Sheet4：交易记录</w:t>
      </w:r>
    </w:p>
    <w:p w14:paraId="091434B7">
      <w:pPr>
        <w:widowControl w:val="0"/>
        <w:numPr>
          <w:ilvl w:val="0"/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记录每一次完整的交易，即建仓买入、加仓和清仓卖出。字段包括：建仓日期、建仓价、建仓股数、第一次加仓日期（若无则空）、第一次加仓价、第一次加仓股数、第二次加仓日期、第二次加仓价、第二次加仓股数、卖出日期、卖出价、平均成本、总股数、收益率、盈亏金额、持仓天数、离场类型（止盈/止损/死叉）</w:t>
      </w:r>
    </w:p>
    <w:p w14:paraId="664E71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DF6CA2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第四步 改为面向对象的类（重新开启一个对话，脚本代码作为附件上传）</w:t>
      </w:r>
    </w:p>
    <w:p w14:paraId="359D1F4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你是一名python量化策略研究员，请基于附件</w:t>
      </w: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策略脚本代码，改写成面向对象的类结构。具体要求如下：</w:t>
      </w:r>
    </w:p>
    <w:p w14:paraId="37EE9852">
      <w:pPr>
        <w:widowControl w:val="0"/>
        <w:numPr>
          <w:ilvl w:val="0"/>
          <w:numId w:val="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类名称：</w:t>
      </w:r>
      <w:r>
        <w:rPr>
          <w:rFonts w:hint="eastAsia"/>
          <w:b w:val="0"/>
          <w:bCs w:val="0"/>
          <w:highlight w:val="yellow"/>
          <w:lang w:val="en-US" w:eastAsia="zh-CN"/>
        </w:rPr>
        <w:t>BollStrategy</w:t>
      </w:r>
    </w:p>
    <w:p w14:paraId="4DD0F0F5">
      <w:pPr>
        <w:widowControl w:val="0"/>
        <w:numPr>
          <w:ilvl w:val="0"/>
          <w:numId w:val="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类方法：</w:t>
      </w:r>
    </w:p>
    <w:p w14:paraId="36EB80E4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__init__：初始化策略参数。入参包括初始资金、佣金费率、印花税费率、最低佣金、止损线、无风险利率</w:t>
      </w:r>
      <w:r>
        <w:rPr>
          <w:rFonts w:hint="eastAsia"/>
          <w:b w:val="0"/>
          <w:bCs w:val="0"/>
          <w:highlight w:val="yellow"/>
          <w:lang w:val="en-US" w:eastAsia="zh-CN"/>
        </w:rPr>
        <w:t>、布林带周期、布林带宽度系数</w:t>
      </w:r>
    </w:p>
    <w:p w14:paraId="2A3DAFF7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load_data：加载数据。入参为数据文件路径，函数将股票名称、股票数据加载到self.data中</w:t>
      </w:r>
    </w:p>
    <w:p w14:paraId="05886415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preprocess_data</w:t>
      </w:r>
      <w:r>
        <w:rPr>
          <w:rFonts w:hint="eastAsia"/>
          <w:b w:val="0"/>
          <w:bCs w:val="0"/>
          <w:lang w:val="en-US" w:eastAsia="zh-CN"/>
        </w:rPr>
        <w:t>：数据处理。计算所需的策略指标和交易信号字段，补充到self.data的字段中。</w:t>
      </w:r>
    </w:p>
    <w:p w14:paraId="6D54C394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run_backtest：运行回测。根据规则进行回测，self.data中记录每日交易数据和状态数据。</w:t>
      </w:r>
    </w:p>
    <w:p w14:paraId="33290EB2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calculate_metrics</w:t>
      </w:r>
      <w:r>
        <w:rPr>
          <w:rFonts w:hint="eastAsia"/>
          <w:b w:val="0"/>
          <w:bCs w:val="0"/>
          <w:lang w:val="en-US" w:eastAsia="zh-CN"/>
        </w:rPr>
        <w:t>：计算绩效指标。self.metrics中记录本策略和买入持有策略的绩效指标。买入持有策略需要单独写一个类来计算绩效指标，这里调用那个类的方法来获得数据即可。在控制台打印两个策略绩效指标对比表格。</w:t>
      </w:r>
    </w:p>
    <w:p w14:paraId="528791A9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plot_result：绘制图表。入参为图表存放路径。</w:t>
      </w:r>
    </w:p>
    <w:p w14:paraId="056658C3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write_report：编写回测报告。入参为报告存放路径。</w:t>
      </w:r>
    </w:p>
    <w:p w14:paraId="0FBB23E9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run_complete_analysis：入参为数据文件路径、存放输出的文件夹。把上述方法串联，方便一次性调用。</w:t>
      </w:r>
    </w:p>
    <w:p w14:paraId="3476CDA8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静态方法compare_stocks：多股票对比。入参为文件夹或数据文件列表、初始化所需的参数、存放输出的文件夹。输出文件包括“</w:t>
      </w: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_多股票对比明细表.xlsx”、“</w:t>
      </w: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_多股票对比图.png”，控制台打印“策略总体效果”。</w:t>
      </w:r>
    </w:p>
    <w:p w14:paraId="4FF308B4">
      <w:pPr>
        <w:widowControl w:val="0"/>
        <w:numPr>
          <w:ilvl w:val="2"/>
          <w:numId w:val="6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_多股票对比明细表，字段包括：股票代码、策略总收益率、策略年化收益率、策略最大回撤率、策略夏普比率、策略胜率、策略盈亏比、策略交易次数、买入持有总收益率、买入持有最大回撤率、买入持有夏普比率、超额总收益率、回撤改善</w:t>
      </w:r>
    </w:p>
    <w:p w14:paraId="790E0E95">
      <w:pPr>
        <w:widowControl w:val="0"/>
        <w:numPr>
          <w:ilvl w:val="2"/>
          <w:numId w:val="6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_多股票对比图：</w:t>
      </w:r>
    </w:p>
    <w:p w14:paraId="299EFF91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最大回撤分布对比直方图（本策略 vs 买入持有策略），横轴为最大回撤值，纵轴为股票个数</w:t>
      </w:r>
    </w:p>
    <w:p w14:paraId="508566BD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本策略胜率 vs 盈亏比四象限散点图，横轴为胜率，纵轴为盈亏比，点的颜色为夏普比率</w:t>
      </w:r>
    </w:p>
    <w:p w14:paraId="0F2BAF72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本策略收益率 vs 买入持有策略收益率散点图，横轴为买入持有策略收益率，纵轴为本策略收益率，绘制45°斜向上虚线代表本策略和买入持有策略收益率相同，点的颜色为超额收益</w:t>
      </w:r>
    </w:p>
    <w:p w14:paraId="1F2EFF50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本策略超额收益 vs 回撤改善四象限散点图，横轴为相比买入持有策略的超额收益率，纵轴为相比买入持有策略的回撤改善值，点的颜色为夏普比率</w:t>
      </w:r>
    </w:p>
    <w:p w14:paraId="3298F5A7">
      <w:pPr>
        <w:numPr>
          <w:ilvl w:val="3"/>
          <w:numId w:val="7"/>
        </w:numPr>
        <w:ind w:left="168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平均ln(E-比率)直方图</w:t>
      </w:r>
    </w:p>
    <w:p w14:paraId="3CEDA3FD">
      <w:pPr>
        <w:widowControl w:val="0"/>
        <w:numPr>
          <w:ilvl w:val="2"/>
          <w:numId w:val="6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策略总体效果（控制台打印）：</w:t>
      </w:r>
    </w:p>
    <w:p w14:paraId="160445BE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跑赢基准比例</w:t>
      </w:r>
    </w:p>
    <w:p w14:paraId="3FCC3686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回撤改善比例</w:t>
      </w:r>
    </w:p>
    <w:p w14:paraId="07B4FFD4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策略平均回撤 vs 买入持有平均回撤</w:t>
      </w:r>
    </w:p>
    <w:p w14:paraId="0FE43AC4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策略平均夏普 vs 买入持有平均夏普</w:t>
      </w:r>
    </w:p>
    <w:p w14:paraId="035DB28D">
      <w:pPr>
        <w:numPr>
          <w:ilvl w:val="3"/>
          <w:numId w:val="7"/>
        </w:numPr>
        <w:ind w:left="168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平均ln(E-比率)的中位数、平均数、最大值、最小值</w:t>
      </w:r>
    </w:p>
    <w:p w14:paraId="006FF563">
      <w:pPr>
        <w:numPr>
          <w:ilvl w:val="3"/>
          <w:numId w:val="7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平均总收益率、平均买入次数、平均胜率、平均盈亏比</w:t>
      </w:r>
    </w:p>
    <w:p w14:paraId="5F580180"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静态方法compare_strategies：比较同一只股票，使用不同参数组合的</w:t>
      </w:r>
      <w:r>
        <w:rPr>
          <w:rFonts w:hint="eastAsia"/>
          <w:b w:val="0"/>
          <w:bCs w:val="0"/>
          <w:highlight w:val="yellow"/>
          <w:lang w:val="en-US" w:eastAsia="zh-CN"/>
        </w:rPr>
        <w:t>布林带策略</w:t>
      </w:r>
      <w:r>
        <w:rPr>
          <w:rFonts w:hint="eastAsia"/>
          <w:b w:val="0"/>
          <w:bCs w:val="0"/>
          <w:lang w:val="en-US" w:eastAsia="zh-CN"/>
        </w:rPr>
        <w:t>效果。入参为数据文件路径、参数组合list、存放输出的文件夹，输出为“XXX_</w:t>
      </w: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参数对比净值曲线.png”、“XXX_</w:t>
      </w: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参数对比详细数据.xlsx”，其中XXX为股票代码。</w:t>
      </w:r>
    </w:p>
    <w:p w14:paraId="79244B5A">
      <w:pPr>
        <w:widowControl w:val="0"/>
        <w:numPr>
          <w:ilvl w:val="2"/>
          <w:numId w:val="6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XXX_</w:t>
      </w: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参数对比净值曲线：每个参数组合一条曲线、买入持有策略一条曲线，横轴为日期，纵轴为净值的对数。</w:t>
      </w:r>
    </w:p>
    <w:p w14:paraId="62A2B405">
      <w:pPr>
        <w:widowControl w:val="0"/>
        <w:numPr>
          <w:ilvl w:val="2"/>
          <w:numId w:val="6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XXX_</w:t>
      </w:r>
      <w:r>
        <w:rPr>
          <w:rFonts w:hint="eastAsia"/>
          <w:b w:val="0"/>
          <w:bCs w:val="0"/>
          <w:highlight w:val="yellow"/>
          <w:lang w:val="en-US" w:eastAsia="zh-CN"/>
        </w:rPr>
        <w:t>布林带</w:t>
      </w:r>
      <w:r>
        <w:rPr>
          <w:rFonts w:hint="eastAsia"/>
          <w:b w:val="0"/>
          <w:bCs w:val="0"/>
          <w:lang w:val="en-US" w:eastAsia="zh-CN"/>
        </w:rPr>
        <w:t>参数对比详细数据：字段包括参数组合、总收益率、年化收益率、最大回撤率、夏普比率、胜率、盈亏比、交易次数、超额收益、回撤改善。买入持有策略的各项指标放在最后一行。</w:t>
      </w:r>
    </w:p>
    <w:p w14:paraId="6EDC4964">
      <w:pPr>
        <w:widowControl w:val="0"/>
        <w:numPr>
          <w:ilvl w:val="0"/>
          <w:numId w:val="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创建一个买入持有策略类，用于计算买入持有策略的各项绩效数据</w:t>
      </w:r>
    </w:p>
    <w:p w14:paraId="39A38CD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3183B85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容易出问题的地方：</w:t>
      </w:r>
    </w:p>
    <w:p w14:paraId="01B930A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第一步的ln(E)计算容易出错</w:t>
      </w:r>
    </w:p>
    <w:p w14:paraId="40E4535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第二步进行回测参数初始化时，整型和浮点型格式容易弄错</w:t>
      </w:r>
    </w:p>
    <w:p w14:paraId="7A1E866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第二步最大回撤率容易算错</w:t>
      </w:r>
    </w:p>
    <w:p w14:paraId="0F10E10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43D6DD9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01A82CB4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代码重构：</w:t>
      </w:r>
    </w:p>
    <w:p w14:paraId="4A93C7B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3AA6388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bookmarkStart w:id="0" w:name="_GoBack"/>
      <w:r>
        <w:rPr>
          <w:rFonts w:hint="eastAsia"/>
          <w:b w:val="0"/>
          <w:bCs w:val="0"/>
          <w:lang w:val="en-US" w:eastAsia="zh-CN"/>
        </w:rPr>
        <w:t>你是一名python量化策略研究员，附件1是MACD_ATR策略脚本代码，附件2是买入持有策略脚本代码。请将附件1改写成面向对象的类结构，要求生成3个类：MACDStrategy策略类、RiskManage风控管理类、TechnicalIndicators</w:t>
      </w:r>
      <w:r>
        <w:rPr>
          <w:rFonts w:hint="default"/>
          <w:b w:val="0"/>
          <w:bCs w:val="0"/>
          <w:lang w:val="en-US" w:eastAsia="zh-CN"/>
        </w:rPr>
        <w:t>工具类</w:t>
      </w:r>
      <w:r>
        <w:rPr>
          <w:rFonts w:hint="eastAsia"/>
          <w:b w:val="0"/>
          <w:bCs w:val="0"/>
          <w:lang w:val="en-US" w:eastAsia="zh-CN"/>
        </w:rPr>
        <w:t>。具体要求如下：</w:t>
      </w:r>
    </w:p>
    <w:p w14:paraId="4AC9A4B6">
      <w:pPr>
        <w:widowControl w:val="0"/>
        <w:numPr>
          <w:ilvl w:val="0"/>
          <w:numId w:val="8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类名和简介：</w:t>
      </w:r>
    </w:p>
    <w:p w14:paraId="288779D0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MACDStrategy：</w:t>
      </w:r>
      <w:r>
        <w:rPr>
          <w:rFonts w:hint="eastAsia"/>
          <w:b w:val="0"/>
          <w:bCs w:val="0"/>
          <w:highlight w:val="none"/>
          <w:lang w:val="en-US" w:eastAsia="zh-CN"/>
        </w:rPr>
        <w:t>负责策略层面的工作</w:t>
      </w:r>
      <w:r>
        <w:rPr>
          <w:rFonts w:hint="eastAsia"/>
          <w:b w:val="0"/>
          <w:bCs w:val="0"/>
          <w:highlight w:val="none"/>
          <w:lang w:val="en-US" w:eastAsia="zh-CN"/>
        </w:rPr>
        <w:t>，用于生成交易信号、进行回测、生成图表和回测报告。</w:t>
      </w:r>
    </w:p>
    <w:p w14:paraId="07B1BF18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RiskManage：</w:t>
      </w:r>
      <w:r>
        <w:rPr>
          <w:rFonts w:hint="eastAsia"/>
          <w:b w:val="0"/>
          <w:bCs w:val="0"/>
          <w:highlight w:val="none"/>
          <w:lang w:val="en-US" w:eastAsia="zh-CN"/>
        </w:rPr>
        <w:t>负责资金与风险控制</w:t>
      </w:r>
      <w:r>
        <w:rPr>
          <w:rFonts w:hint="eastAsia"/>
          <w:b w:val="0"/>
          <w:bCs w:val="0"/>
          <w:highlight w:val="none"/>
          <w:lang w:val="en-US" w:eastAsia="zh-CN"/>
        </w:rPr>
        <w:t>，使用ATR指标进行仓位管理（建仓和加仓），以及止盈止损管理。</w:t>
      </w:r>
    </w:p>
    <w:p w14:paraId="2DEF1764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TechnicalIndicators：负责计算策略和风控等各类指标。</w:t>
      </w:r>
    </w:p>
    <w:p w14:paraId="3BCF1735">
      <w:pPr>
        <w:widowControl w:val="0"/>
        <w:numPr>
          <w:ilvl w:val="0"/>
          <w:numId w:val="8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MACDStrategy</w:t>
      </w:r>
      <w:r>
        <w:rPr>
          <w:rFonts w:hint="eastAsia"/>
          <w:b w:val="0"/>
          <w:bCs w:val="0"/>
          <w:lang w:val="en-US" w:eastAsia="zh-CN"/>
        </w:rPr>
        <w:t>类方法：</w:t>
      </w:r>
    </w:p>
    <w:p w14:paraId="28B771DA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__init__：初始化策略参数。入参包括初始资金、佣金费率、印花税费率、最低佣金、无风险利率</w:t>
      </w:r>
      <w:r>
        <w:rPr>
          <w:rFonts w:hint="eastAsia"/>
          <w:b w:val="0"/>
          <w:bCs w:val="0"/>
          <w:highlight w:val="yellow"/>
          <w:lang w:val="en-US" w:eastAsia="zh-CN"/>
        </w:rPr>
        <w:t>、MACD参数列表（默认为[12,26,9]）、ATR周期（计算ATR用的TR个数，默认14）</w:t>
      </w:r>
    </w:p>
    <w:p w14:paraId="536A319C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load_data：加载数据。入参为数据文件路径，函数将股票名称、股票数据加载到self.data中</w:t>
      </w:r>
    </w:p>
    <w:p w14:paraId="4203AD04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preprocess_data</w:t>
      </w:r>
      <w:r>
        <w:rPr>
          <w:rFonts w:hint="eastAsia"/>
          <w:b w:val="0"/>
          <w:bCs w:val="0"/>
          <w:lang w:val="en-US" w:eastAsia="zh-CN"/>
        </w:rPr>
        <w:t>：数据处理。调用TechnicalIndicators计算所需的策略指标以及ATR值，根据策略指标生成交易信号字段，补充到self.data的字段中。</w:t>
      </w:r>
    </w:p>
    <w:p w14:paraId="77A57B75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run_backtest：运行回测。根据规则进行回测，self.data中记录每日交易数据和状态数据。RiskManage实例作为入参之一，如果不传则满仓和不设止盈止损点。</w:t>
      </w:r>
    </w:p>
    <w:p w14:paraId="5DB44EE7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calculate_metrics</w:t>
      </w:r>
      <w:r>
        <w:rPr>
          <w:rFonts w:hint="eastAsia"/>
          <w:b w:val="0"/>
          <w:bCs w:val="0"/>
          <w:lang w:val="en-US" w:eastAsia="zh-CN"/>
        </w:rPr>
        <w:t>：计算绩效指标。self.metrics中记录本策略和买入持有策略的绩效指标。买入持有策略类见附件2，这里调用那个类的方法来获得数据即可。在控制台打印两个策略绩效指标对比表格。</w:t>
      </w:r>
    </w:p>
    <w:p w14:paraId="5BFFA20C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plot_result：绘制图表。入参为图表存放路径。</w:t>
      </w:r>
    </w:p>
    <w:p w14:paraId="4F176BDA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write_report：编写回测报告。入参为报告存放路径。</w:t>
      </w:r>
    </w:p>
    <w:p w14:paraId="2C25571E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run_complete_analysis：入参为数据文件路径、存放输出的文件夹。把上述方法串联，方便一次性调用。</w:t>
      </w:r>
    </w:p>
    <w:p w14:paraId="7A16F19D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静态方法compare_stocks：多股票对比。入参为文件夹或数据文件列表、初始化所需的参数、存放输出的文件夹。输出文件包括“</w:t>
      </w:r>
      <w:r>
        <w:rPr>
          <w:rFonts w:hint="eastAsia"/>
          <w:b w:val="0"/>
          <w:bCs w:val="0"/>
          <w:highlight w:val="yellow"/>
          <w:lang w:val="en-US" w:eastAsia="zh-CN"/>
        </w:rPr>
        <w:t>MACD</w:t>
      </w:r>
      <w:r>
        <w:rPr>
          <w:rFonts w:hint="eastAsia"/>
          <w:b w:val="0"/>
          <w:bCs w:val="0"/>
          <w:lang w:val="en-US" w:eastAsia="zh-CN"/>
        </w:rPr>
        <w:t>_多股票对比明细表.xlsx”、“</w:t>
      </w:r>
      <w:r>
        <w:rPr>
          <w:rFonts w:hint="eastAsia"/>
          <w:b w:val="0"/>
          <w:bCs w:val="0"/>
          <w:highlight w:val="yellow"/>
          <w:lang w:val="en-US" w:eastAsia="zh-CN"/>
        </w:rPr>
        <w:t>MACD</w:t>
      </w:r>
      <w:r>
        <w:rPr>
          <w:rFonts w:hint="eastAsia"/>
          <w:b w:val="0"/>
          <w:bCs w:val="0"/>
          <w:lang w:val="en-US" w:eastAsia="zh-CN"/>
        </w:rPr>
        <w:t>_多股票对比图.png”，控制台打印“策略总体效果”。</w:t>
      </w:r>
    </w:p>
    <w:p w14:paraId="0283FC45">
      <w:pPr>
        <w:widowControl w:val="0"/>
        <w:numPr>
          <w:ilvl w:val="2"/>
          <w:numId w:val="8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ACD_多股票对比明细表，字段包括：股票代码、策略总收益率、策略年化收益率、策略最大回撤率、策略夏普比率、策略胜率、策略盈亏比、策略交易次数、买入持有总收益率、买入持有最大回撤率、买入持有夏普比率、超额总收益率、回撤改善</w:t>
      </w:r>
    </w:p>
    <w:p w14:paraId="418EFF57">
      <w:pPr>
        <w:widowControl w:val="0"/>
        <w:numPr>
          <w:ilvl w:val="2"/>
          <w:numId w:val="8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MACD</w:t>
      </w:r>
      <w:r>
        <w:rPr>
          <w:rFonts w:hint="eastAsia"/>
          <w:b w:val="0"/>
          <w:bCs w:val="0"/>
          <w:lang w:val="en-US" w:eastAsia="zh-CN"/>
        </w:rPr>
        <w:t>_多股票对比图：</w:t>
      </w:r>
    </w:p>
    <w:p w14:paraId="69705B01">
      <w:pPr>
        <w:numPr>
          <w:ilvl w:val="3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最大回撤分布对比直方图（本策略 vs 买入持有策略），横轴为最大回撤值，纵轴为股票个数</w:t>
      </w:r>
    </w:p>
    <w:p w14:paraId="7C1B7E0C">
      <w:pPr>
        <w:numPr>
          <w:ilvl w:val="3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本策略胜率 vs 盈亏比四象限散点图，横轴为胜率，纵轴为盈亏比，点的颜色为夏普比率</w:t>
      </w:r>
    </w:p>
    <w:p w14:paraId="4AC15A99">
      <w:pPr>
        <w:numPr>
          <w:ilvl w:val="3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本策略收益率 vs 买入持有策略收益率散点图，横轴为买入持有策略收益率，纵轴为本策略收益率，绘制45°斜向上虚线代表本策略和买入持有策略收益率相同，点的颜色为超额收益</w:t>
      </w:r>
    </w:p>
    <w:p w14:paraId="0C2AA8FD">
      <w:pPr>
        <w:numPr>
          <w:ilvl w:val="3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本策略超额收益 vs 回撤改善四象限散点图，横轴为相比买入持有策略的超额收益率，纵轴为相比买入持有策略的回撤改善值，点的颜色为夏普比率</w:t>
      </w:r>
    </w:p>
    <w:p w14:paraId="7E469923">
      <w:pPr>
        <w:numPr>
          <w:ilvl w:val="3"/>
          <w:numId w:val="9"/>
        </w:numPr>
        <w:ind w:left="168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平均ln(E)直方图</w:t>
      </w:r>
    </w:p>
    <w:p w14:paraId="5280D396">
      <w:pPr>
        <w:widowControl w:val="0"/>
        <w:numPr>
          <w:ilvl w:val="2"/>
          <w:numId w:val="8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策略总体效果（控制台打印）：</w:t>
      </w:r>
    </w:p>
    <w:p w14:paraId="6571910D">
      <w:pPr>
        <w:numPr>
          <w:ilvl w:val="3"/>
          <w:numId w:val="10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跑赢基准比例</w:t>
      </w:r>
    </w:p>
    <w:p w14:paraId="229BC051">
      <w:pPr>
        <w:numPr>
          <w:ilvl w:val="3"/>
          <w:numId w:val="10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回撤改善比例</w:t>
      </w:r>
    </w:p>
    <w:p w14:paraId="4408359C">
      <w:pPr>
        <w:numPr>
          <w:ilvl w:val="3"/>
          <w:numId w:val="10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策略平均回撤 vs 买入持有平均回撤</w:t>
      </w:r>
    </w:p>
    <w:p w14:paraId="4A93B735">
      <w:pPr>
        <w:numPr>
          <w:ilvl w:val="3"/>
          <w:numId w:val="10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策略平均夏普 vs 买入持有平均夏普</w:t>
      </w:r>
    </w:p>
    <w:p w14:paraId="017B4BF4">
      <w:pPr>
        <w:numPr>
          <w:ilvl w:val="3"/>
          <w:numId w:val="10"/>
        </w:numPr>
        <w:ind w:left="168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平均ln(E)的中位数、平均数、最大值、最小值</w:t>
      </w:r>
    </w:p>
    <w:p w14:paraId="20D520C1">
      <w:pPr>
        <w:numPr>
          <w:ilvl w:val="3"/>
          <w:numId w:val="10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滚动年化收益率的中位数、平均数、最大值、最小值、标准差</w:t>
      </w:r>
    </w:p>
    <w:p w14:paraId="338A75B3">
      <w:pPr>
        <w:numPr>
          <w:ilvl w:val="3"/>
          <w:numId w:val="10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平均总收益率、平均买入次数、平均胜率、平均盈亏比</w:t>
      </w:r>
    </w:p>
    <w:p w14:paraId="636411CA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静态方法compare_strategies：比较同一只股票，使用不同参数组合的</w:t>
      </w:r>
      <w:r>
        <w:rPr>
          <w:rFonts w:hint="eastAsia"/>
          <w:b w:val="0"/>
          <w:bCs w:val="0"/>
          <w:highlight w:val="yellow"/>
          <w:lang w:val="en-US" w:eastAsia="zh-CN"/>
        </w:rPr>
        <w:t>MACD策略</w:t>
      </w:r>
      <w:r>
        <w:rPr>
          <w:rFonts w:hint="eastAsia"/>
          <w:b w:val="0"/>
          <w:bCs w:val="0"/>
          <w:lang w:val="en-US" w:eastAsia="zh-CN"/>
        </w:rPr>
        <w:t>效果。入参为数据文件路径、参数组合list、存放输出的文件夹，输出为“XXX_</w:t>
      </w:r>
      <w:r>
        <w:rPr>
          <w:rFonts w:hint="eastAsia"/>
          <w:b w:val="0"/>
          <w:bCs w:val="0"/>
          <w:highlight w:val="yellow"/>
          <w:lang w:val="en-US" w:eastAsia="zh-CN"/>
        </w:rPr>
        <w:t>MACD</w:t>
      </w:r>
      <w:r>
        <w:rPr>
          <w:rFonts w:hint="eastAsia"/>
          <w:b w:val="0"/>
          <w:bCs w:val="0"/>
          <w:lang w:val="en-US" w:eastAsia="zh-CN"/>
        </w:rPr>
        <w:t>参数对比净值曲线.png”、“XXX_</w:t>
      </w:r>
      <w:r>
        <w:rPr>
          <w:rFonts w:hint="eastAsia"/>
          <w:b w:val="0"/>
          <w:bCs w:val="0"/>
          <w:highlight w:val="yellow"/>
          <w:lang w:val="en-US" w:eastAsia="zh-CN"/>
        </w:rPr>
        <w:t>MACD</w:t>
      </w:r>
      <w:r>
        <w:rPr>
          <w:rFonts w:hint="eastAsia"/>
          <w:b w:val="0"/>
          <w:bCs w:val="0"/>
          <w:lang w:val="en-US" w:eastAsia="zh-CN"/>
        </w:rPr>
        <w:t>参数对比详细数据.xlsx”，其中XXX为股票代码。</w:t>
      </w:r>
    </w:p>
    <w:p w14:paraId="46741C68">
      <w:pPr>
        <w:widowControl w:val="0"/>
        <w:numPr>
          <w:ilvl w:val="2"/>
          <w:numId w:val="8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XXX_</w:t>
      </w:r>
      <w:r>
        <w:rPr>
          <w:rFonts w:hint="eastAsia"/>
          <w:b w:val="0"/>
          <w:bCs w:val="0"/>
          <w:highlight w:val="yellow"/>
          <w:lang w:val="en-US" w:eastAsia="zh-CN"/>
        </w:rPr>
        <w:t>MACD</w:t>
      </w:r>
      <w:r>
        <w:rPr>
          <w:rFonts w:hint="eastAsia"/>
          <w:b w:val="0"/>
          <w:bCs w:val="0"/>
          <w:lang w:val="en-US" w:eastAsia="zh-CN"/>
        </w:rPr>
        <w:t>参数对比净值曲线：每个参数组合一条曲线、买入持有策略一条曲线，横轴为日期，纵轴为净值的对数。</w:t>
      </w:r>
    </w:p>
    <w:p w14:paraId="78078CD2">
      <w:pPr>
        <w:widowControl w:val="0"/>
        <w:numPr>
          <w:ilvl w:val="2"/>
          <w:numId w:val="8"/>
        </w:numPr>
        <w:ind w:left="126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XXX_</w:t>
      </w:r>
      <w:r>
        <w:rPr>
          <w:rFonts w:hint="eastAsia"/>
          <w:b w:val="0"/>
          <w:bCs w:val="0"/>
          <w:highlight w:val="yellow"/>
          <w:lang w:val="en-US" w:eastAsia="zh-CN"/>
        </w:rPr>
        <w:t>MACD</w:t>
      </w:r>
      <w:r>
        <w:rPr>
          <w:rFonts w:hint="eastAsia"/>
          <w:b w:val="0"/>
          <w:bCs w:val="0"/>
          <w:lang w:val="en-US" w:eastAsia="zh-CN"/>
        </w:rPr>
        <w:t>参数对比详细数据：字段包括参数组合、总收益率、年化收益率、最大回撤率、夏普比率、胜率、盈亏比、交易次数、超额收益、回撤改善。买入持有策略的各项指标放在最后一行。</w:t>
      </w:r>
    </w:p>
    <w:p w14:paraId="16116E10">
      <w:pPr>
        <w:widowControl w:val="0"/>
        <w:numPr>
          <w:ilvl w:val="0"/>
          <w:numId w:val="8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RiskManage类方法：</w:t>
      </w:r>
    </w:p>
    <w:p w14:paraId="73CAFCA6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__init__：初始化策略参数。入参包括风险预算比率、加仓比率分配列表（默认为[40%,30%,30%]，表示建仓股数占比40%，后面两次加仓分别占比30%）、加仓间隔(ATR倍数，默认为1)、止损/止盈设置(ATR倍数，默认为2)</w:t>
      </w:r>
    </w:p>
    <w:p w14:paraId="35A7F8C0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reset_position：重置状态。确保风险管理对象在开始新的回测任务时，不会受到之前回测残留数据的影响。</w:t>
      </w:r>
    </w:p>
    <w:p w14:paraId="0482C6A9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calculate_position_size</w:t>
      </w:r>
      <w:r>
        <w:rPr>
          <w:rFonts w:hint="default"/>
          <w:b w:val="0"/>
          <w:bCs w:val="0"/>
          <w:lang w:val="en-US" w:eastAsia="zh-CN"/>
        </w:rPr>
        <w:t>：计算建仓股数</w:t>
      </w:r>
      <w:r>
        <w:rPr>
          <w:rFonts w:hint="eastAsia"/>
          <w:b w:val="0"/>
          <w:bCs w:val="0"/>
          <w:lang w:val="en-US" w:eastAsia="zh-CN"/>
        </w:rPr>
        <w:t>。根据当前价格、当前ATR值、当前可用现金等计算建仓股数、止损价、止盈价、总风险股数等</w:t>
      </w:r>
    </w:p>
    <w:p w14:paraId="60DED3CE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calculate_add_position_size</w:t>
      </w:r>
      <w:r>
        <w:rPr>
          <w:rFonts w:hint="default"/>
          <w:b w:val="0"/>
          <w:bCs w:val="0"/>
          <w:lang w:val="en-US" w:eastAsia="zh-CN"/>
        </w:rPr>
        <w:t>：计算加仓股数</w:t>
      </w:r>
      <w:r>
        <w:rPr>
          <w:rFonts w:hint="eastAsia"/>
          <w:b w:val="0"/>
          <w:bCs w:val="0"/>
          <w:lang w:val="en-US" w:eastAsia="zh-CN"/>
        </w:rPr>
        <w:t>。计算本次加仓的股数，以及更新后的止损价。</w:t>
      </w:r>
    </w:p>
    <w:p w14:paraId="3E772E86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get_next_add_price：</w:t>
      </w:r>
      <w:r>
        <w:rPr>
          <w:rFonts w:hint="eastAsia"/>
          <w:b w:val="0"/>
          <w:bCs w:val="0"/>
          <w:lang w:val="en-US" w:eastAsia="zh-CN"/>
        </w:rPr>
        <w:t>计算</w:t>
      </w:r>
      <w:r>
        <w:rPr>
          <w:rFonts w:hint="default"/>
          <w:b w:val="0"/>
          <w:bCs w:val="0"/>
          <w:lang w:val="en-US" w:eastAsia="zh-CN"/>
        </w:rPr>
        <w:t>下一次加仓的目标价格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302BCA85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check_stop：检查是否触发止盈止损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63E8D06F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update_risk_state：更新风险状态</w:t>
      </w:r>
      <w:r>
        <w:rPr>
          <w:rFonts w:hint="eastAsia"/>
          <w:b w:val="0"/>
          <w:bCs w:val="0"/>
          <w:lang w:val="en-US" w:eastAsia="zh-CN"/>
        </w:rPr>
        <w:t>。建仓、加仓、平仓时更新相关风险状态。</w:t>
      </w:r>
    </w:p>
    <w:p w14:paraId="2D696AFF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get_risk_state：获取当前风险状态</w:t>
      </w:r>
      <w:r>
        <w:rPr>
          <w:rFonts w:hint="eastAsia"/>
          <w:b w:val="0"/>
          <w:bCs w:val="0"/>
          <w:lang w:val="en-US" w:eastAsia="zh-CN"/>
        </w:rPr>
        <w:t>。返回当前所有风险状态快照。</w:t>
      </w:r>
    </w:p>
    <w:p w14:paraId="1A43F961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is_can_add：判断是否可以加仓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32BD8848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get_risk_metrics：获取当前风险指标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4B170AD3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TechnicalIndicators类方法：</w:t>
      </w:r>
    </w:p>
    <w:p w14:paraId="4F18DD90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calculate_atr(df, period=14, high_col='最高', low_col='最低', close_col='收盘', suspend_col=None)</w:t>
      </w:r>
      <w:r>
        <w:rPr>
          <w:rFonts w:hint="eastAsia"/>
          <w:b w:val="0"/>
          <w:bCs w:val="0"/>
          <w:lang w:val="en-US" w:eastAsia="zh-CN"/>
        </w:rPr>
        <w:t>：计算平均真实波幅（ATR）及相关指标。入参包括交易数据df、ATR周期（默认14）</w:t>
      </w:r>
    </w:p>
    <w:p w14:paraId="76EDBA55">
      <w:pPr>
        <w:widowControl w:val="0"/>
        <w:numPr>
          <w:ilvl w:val="1"/>
          <w:numId w:val="8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calculate_macd(df, fast=12, slow=26, signal=9, close_col='收盘', suspend_col=None)</w:t>
      </w:r>
      <w:r>
        <w:rPr>
          <w:rFonts w:hint="eastAsia"/>
          <w:b w:val="0"/>
          <w:bCs w:val="0"/>
          <w:lang w:val="en-US" w:eastAsia="zh-CN"/>
        </w:rPr>
        <w:t>：计算MACD及相关指标。入参包括交易数据df、MACD相关参数。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BB76E"/>
    <w:multiLevelType w:val="multilevel"/>
    <w:tmpl w:val="80ABB76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1A112C2"/>
    <w:multiLevelType w:val="multilevel"/>
    <w:tmpl w:val="B1A112C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5D053FD"/>
    <w:multiLevelType w:val="singleLevel"/>
    <w:tmpl w:val="E5D053F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3803B85"/>
    <w:multiLevelType w:val="multilevel"/>
    <w:tmpl w:val="F3803B8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099E496F"/>
    <w:multiLevelType w:val="multilevel"/>
    <w:tmpl w:val="099E496F"/>
    <w:lvl w:ilvl="0" w:tentative="0">
      <w:start w:val="1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1923AB19"/>
    <w:multiLevelType w:val="multilevel"/>
    <w:tmpl w:val="1923AB19"/>
    <w:lvl w:ilvl="0" w:tentative="0">
      <w:start w:val="1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3FDC3C37"/>
    <w:multiLevelType w:val="multilevel"/>
    <w:tmpl w:val="3FDC3C3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608B38EA"/>
    <w:multiLevelType w:val="singleLevel"/>
    <w:tmpl w:val="608B38E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3F9B45E"/>
    <w:multiLevelType w:val="multilevel"/>
    <w:tmpl w:val="63F9B45E"/>
    <w:lvl w:ilvl="0" w:tentative="0">
      <w:start w:val="1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707EAB7D"/>
    <w:multiLevelType w:val="singleLevel"/>
    <w:tmpl w:val="707EAB7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9"/>
  </w:num>
  <w:num w:numId="6">
    <w:abstractNumId w:val="1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A6580"/>
    <w:rsid w:val="055E5695"/>
    <w:rsid w:val="0C4E7A36"/>
    <w:rsid w:val="13E32DDA"/>
    <w:rsid w:val="149308D8"/>
    <w:rsid w:val="15302C83"/>
    <w:rsid w:val="157B45E6"/>
    <w:rsid w:val="16FB6BF7"/>
    <w:rsid w:val="18653FBE"/>
    <w:rsid w:val="1C0721E9"/>
    <w:rsid w:val="1C3B1844"/>
    <w:rsid w:val="1C6B037B"/>
    <w:rsid w:val="1D465C3F"/>
    <w:rsid w:val="23D61A4A"/>
    <w:rsid w:val="2B0243B1"/>
    <w:rsid w:val="31671525"/>
    <w:rsid w:val="31CF2D03"/>
    <w:rsid w:val="33E75CC2"/>
    <w:rsid w:val="39596D78"/>
    <w:rsid w:val="3C9D503C"/>
    <w:rsid w:val="48F3537D"/>
    <w:rsid w:val="4EC375AB"/>
    <w:rsid w:val="50BB4726"/>
    <w:rsid w:val="50D13A1A"/>
    <w:rsid w:val="51F43C43"/>
    <w:rsid w:val="55C6040E"/>
    <w:rsid w:val="59AF4A52"/>
    <w:rsid w:val="5B63571B"/>
    <w:rsid w:val="5EFB3610"/>
    <w:rsid w:val="6B413622"/>
    <w:rsid w:val="6C7B4FDE"/>
    <w:rsid w:val="6D025251"/>
    <w:rsid w:val="6DD54DCC"/>
    <w:rsid w:val="6F635365"/>
    <w:rsid w:val="70FE689D"/>
    <w:rsid w:val="71B13A2E"/>
    <w:rsid w:val="7309662D"/>
    <w:rsid w:val="76B439B6"/>
    <w:rsid w:val="78540EAB"/>
    <w:rsid w:val="79444583"/>
    <w:rsid w:val="79513CB3"/>
    <w:rsid w:val="7CF821E3"/>
    <w:rsid w:val="7F07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3846</Words>
  <Characters>4604</Characters>
  <Lines>0</Lines>
  <Paragraphs>0</Paragraphs>
  <TotalTime>81</TotalTime>
  <ScaleCrop>false</ScaleCrop>
  <LinksUpToDate>false</LinksUpToDate>
  <CharactersWithSpaces>4683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2026-03-16T06:56:00Z</dcterms:created>
  <dc:creator>DELL</dc:creator>
  <cp:lastModifiedBy>亭子</cp:lastModifiedBy>
  <dcterms:modified xsi:type="dcterms:W3CDTF">2026-03-26T08:45:50Z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eyJoZGlkIjoiNjg1MWI4Y2NjMTNhNDNhZWNhY2NjNWI0YzdiMmRkYjAiLCJ1c2VySWQiOiI3NDk5Nzg5ODcifQ==</vt:lpwstr>
  </property>
  <property fmtid="{D5CDD505-2E9C-101B-9397-08002B2CF9AE}" pid="4" name="ICV">
    <vt:lpwstr>0CF1491DE54F4DAAA5CB7D66A3AE6ECA_12</vt:lpwstr>
  </property>
</Properties>
</file>