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4"/>
          <w:szCs w:val="44"/>
        </w:rPr>
        <w:t xml:space="preserve">A Comparative Study of Low-Code Development</w:t>
      </w:r>
    </w:p>
    <w:p>
      <w:pPr>
        <w:spacing w:after="400" w:before="120"/>
        <w:jc w:val="center"/>
      </w:pPr>
      <w:r>
        <w:rPr>
          <w:b/>
          <w:bCs/>
          <w:color w:val="1F4E79"/>
          <w:sz w:val="44"/>
          <w:szCs w:val="44"/>
        </w:rPr>
        <w:t xml:space="preserve">versus Traditional Application Development</w:t>
      </w:r>
    </w:p>
    <w:p>
      <w:pPr>
        <w:spacing w:after="100"/>
        <w:jc w:val="center"/>
      </w:pPr>
      <w:r>
        <w:rPr>
          <w:i/>
          <w:iCs/>
          <w:color w:val="595959"/>
          <w:sz w:val="26"/>
          <w:szCs w:val="26"/>
        </w:rPr>
        <w:t xml:space="preserve">An Analysis of Speed, Flexibility, Cost, and Long-Term Viability</w:t>
      </w:r>
    </w:p>
    <w:p>
      <w:pPr>
        <w:spacing w:before="800"/>
        <w:jc w:val="center"/>
      </w:pPr>
      <w:r>
        <w:rPr>
          <w:color w:val="595959"/>
          <w:sz w:val="22"/>
          <w:szCs w:val="22"/>
        </w:rPr>
        <w:t xml:space="preserve">Prepared July 2026</w:t>
      </w:r>
    </w:p>
    <w:p>
      <w:r>
        <w:br w:type="page"/>
      </w:r>
    </w:p>
    <w:p>
      <w:pPr>
        <w:pStyle w:val="Heading1"/>
        <w:spacing w:after="180" w:before="360"/>
      </w:pPr>
      <w:r>
        <w:t xml:space="preserve">1. Introduction</w:t>
      </w:r>
    </w:p>
    <w:p>
      <w:pPr>
        <w:spacing w:after="160" w:line="276"/>
      </w:pPr>
      <w:r>
        <w:rPr>
          <w:sz w:val="22"/>
          <w:szCs w:val="22"/>
        </w:rPr>
        <w:t xml:space="preserve">Software delivery has traditionally required teams of trained engineers writing source code by hand in languages such as Java, Python, C#, or JavaScript, assembling frameworks, and manually wiring together architecture, data layers, and user interfaces. Over the past decade, low-code development platforms — including OutSystems, Mendix, Microsoft Power Apps, and Retool — have emerged as an alternative that replaces much of this manual coding with visual, model-driven design: drag-and-drop components, pre-built connectors, and configuration-based logic.</w:t>
      </w:r>
    </w:p>
    <w:p>
      <w:pPr>
        <w:spacing w:after="160" w:line="276"/>
      </w:pPr>
      <w:r>
        <w:rPr>
          <w:sz w:val="22"/>
          <w:szCs w:val="22"/>
        </w:rPr>
        <w:t xml:space="preserve">This study examines both approaches side by side across the dimensions that matter most to organizations choosing a development strategy: speed, flexibility, required skill sets, cost, scalability, portability, maintainability, governance, and integration capability. The goal is not to declare a universal winner, but to give decision-makers a structured framework for matching the right approach to the right project.</w:t>
      </w:r>
    </w:p>
    <w:p>
      <w:pPr>
        <w:spacing w:after="160" w:line="276"/>
      </w:pPr>
      <w:r>
        <w:rPr>
          <w:sz w:val="22"/>
          <w:szCs w:val="22"/>
        </w:rPr>
        <w:t xml:space="preserve">The comparison is grounded in how each approach actually behaves in practice, drawing on common patterns observed across enterprise software delivery, digital transformation initiatives, and citizen-development programs.</w:t>
      </w:r>
    </w:p>
    <w:p>
      <w:pPr>
        <w:pStyle w:val="Heading1"/>
        <w:spacing w:after="180" w:before="360"/>
      </w:pPr>
      <w:r>
        <w:t xml:space="preserve">2. Definitions and Scope</w:t>
      </w:r>
    </w:p>
    <w:p>
      <w:pPr>
        <w:pStyle w:val="Heading2"/>
        <w:spacing w:after="120" w:before="260"/>
      </w:pPr>
      <w:r>
        <w:t xml:space="preserve">2.1 Low-Code Development</w:t>
      </w:r>
    </w:p>
    <w:p>
      <w:pPr>
        <w:spacing w:after="160" w:line="276"/>
      </w:pPr>
      <w:r>
        <w:rPr>
          <w:sz w:val="22"/>
          <w:szCs w:val="22"/>
        </w:rPr>
        <w:t xml:space="preserve">Low-code development refers to a software engineering approach in which applications are built primarily through visual modeling tools rather than hand-written code. Developers — who may be professional engineers or business-savvy "citizen developers" — assemble applications from pre-built UI components, workflow templates, and data connectors. Most platforms still allow custom scripting for edge cases, but the majority of the application is produced through configuration rather than programming.</w:t>
      </w:r>
    </w:p>
    <w:p>
      <w:pPr>
        <w:pStyle w:val="Heading2"/>
        <w:spacing w:after="120" w:before="260"/>
      </w:pPr>
      <w:r>
        <w:t xml:space="preserve">2.2 Traditional Development</w:t>
      </w:r>
    </w:p>
    <w:p>
      <w:pPr>
        <w:spacing w:after="160" w:line="276"/>
      </w:pPr>
      <w:r>
        <w:rPr>
          <w:sz w:val="22"/>
          <w:szCs w:val="22"/>
        </w:rPr>
        <w:t xml:space="preserve">Traditional development refers to the conventional software engineering process in which developers write source code directly using general-purpose programming languages and frameworks. This includes designing the system architecture, writing business logic line by line, building the data layer, and manually implementing integrations, testing, and deployment pipelines.</w:t>
      </w:r>
    </w:p>
    <w:p>
      <w:pPr>
        <w:pStyle w:val="Heading2"/>
        <w:spacing w:after="120" w:before="260"/>
      </w:pPr>
      <w:r>
        <w:t xml:space="preserve">2.3 Scope of the Comparison</w:t>
      </w:r>
    </w:p>
    <w:p>
      <w:pPr>
        <w:spacing w:after="160" w:line="276"/>
      </w:pPr>
      <w:r>
        <w:rPr>
          <w:sz w:val="22"/>
          <w:szCs w:val="22"/>
        </w:rPr>
        <w:t xml:space="preserve">This study focuses on enterprise and business application development — internal tools, customer-facing web and mobile apps, workflow automation, and departmental systems. It does not cover specialized domains such as embedded systems, operating systems, or game engine development, where traditional coding remains the near-universal standard regardless of low-code market trends.</w:t>
      </w:r>
    </w:p>
    <w:p>
      <w:pPr>
        <w:pStyle w:val="Heading1"/>
        <w:spacing w:after="180" w:before="360"/>
      </w:pPr>
      <w:r>
        <w:t xml:space="preserve">3. Comparative Framework</w:t>
      </w:r>
    </w:p>
    <w:p>
      <w:pPr>
        <w:spacing w:after="160" w:line="276"/>
      </w:pPr>
      <w:r>
        <w:rPr>
          <w:sz w:val="22"/>
          <w:szCs w:val="22"/>
        </w:rPr>
        <w:t xml:space="preserve">To make the comparison actionable, each approach is evaluated against nine dimensions that recur across real-world technology decisions: development speed, flexibility and customization, required skills, cost structure, scalability and performance, vendor lock-in and portability, maintenance and long-term evolution, governance and security, and integration capability. Each dimension is scored qualitatively as Low, Medium, or High advantage, and discussed in the sections that follow.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1F4E79" w:val="clear"/>
            <w:tcMar>
              <w:top w:type="dxa" w:w="100"/>
              <w:left w:type="dxa" w:w="120"/>
              <w:bottom w:type="dxa" w:w="100"/>
              <w:right w:type="dxa" w:w="120"/>
            </w:tcMar>
            <w:vAlign w:val="center"/>
          </w:tcPr>
          <w:p>
            <w:r>
              <w:rPr>
                <w:b/>
                <w:bCs/>
                <w:color w:val="FFFFFF"/>
                <w:sz w:val="20"/>
                <w:szCs w:val="20"/>
              </w:rPr>
              <w:t xml:space="preserve">Dimension</w:t>
            </w:r>
          </w:p>
        </w:tc>
        <w:tc>
          <w:tcPr>
            <w:tcW w:type="dxa" w:w="3000"/>
            <w:shd w:fill="1F4E79" w:val="clear"/>
            <w:tcMar>
              <w:top w:type="dxa" w:w="100"/>
              <w:left w:type="dxa" w:w="120"/>
              <w:bottom w:type="dxa" w:w="100"/>
              <w:right w:type="dxa" w:w="120"/>
            </w:tcMar>
            <w:vAlign w:val="center"/>
          </w:tcPr>
          <w:p>
            <w:r>
              <w:rPr>
                <w:b/>
                <w:bCs/>
                <w:color w:val="FFFFFF"/>
                <w:sz w:val="20"/>
                <w:szCs w:val="20"/>
              </w:rPr>
              <w:t xml:space="preserve">Low-Code</w:t>
            </w:r>
          </w:p>
        </w:tc>
        <w:tc>
          <w:tcPr>
            <w:tcW w:type="dxa" w:w="3000"/>
            <w:shd w:fill="1F4E79" w:val="clear"/>
            <w:tcMar>
              <w:top w:type="dxa" w:w="100"/>
              <w:left w:type="dxa" w:w="120"/>
              <w:bottom w:type="dxa" w:w="100"/>
              <w:right w:type="dxa" w:w="120"/>
            </w:tcMar>
            <w:vAlign w:val="center"/>
          </w:tcPr>
          <w:p>
            <w:r>
              <w:rPr>
                <w:b/>
                <w:bCs/>
                <w:color w:val="FFFFFF"/>
                <w:sz w:val="20"/>
                <w:szCs w:val="20"/>
              </w:rPr>
              <w:t xml:space="preserve">Traditional</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Development Speed</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c>
          <w:tcPr>
            <w:tcW w:type="dxa" w:w="3000"/>
            <w:tcMar>
              <w:top w:type="dxa" w:w="100"/>
              <w:left w:type="dxa" w:w="120"/>
              <w:bottom w:type="dxa" w:w="100"/>
              <w:right w:type="dxa" w:w="120"/>
            </w:tcMar>
            <w:vAlign w:val="center"/>
          </w:tcPr>
          <w:p>
            <w:r>
              <w:rPr>
                <w:b w:val="false"/>
                <w:bCs w:val="false"/>
                <w:color w:val="000000"/>
                <w:sz w:val="20"/>
                <w:szCs w:val="20"/>
              </w:rPr>
              <w:t xml:space="preserve">Low–Medium</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Flexibility / Customization</w:t>
            </w:r>
          </w:p>
        </w:tc>
        <w:tc>
          <w:tcPr>
            <w:tcW w:type="dxa" w:w="3000"/>
            <w:tcMar>
              <w:top w:type="dxa" w:w="100"/>
              <w:left w:type="dxa" w:w="120"/>
              <w:bottom w:type="dxa" w:w="100"/>
              <w:right w:type="dxa" w:w="120"/>
            </w:tcMar>
            <w:vAlign w:val="center"/>
          </w:tcPr>
          <w:p>
            <w:r>
              <w:rPr>
                <w:b w:val="false"/>
                <w:bCs w:val="false"/>
                <w:color w:val="000000"/>
                <w:sz w:val="20"/>
                <w:szCs w:val="20"/>
              </w:rPr>
              <w:t xml:space="preserve">Low–Medium</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Required Skill Level</w:t>
            </w:r>
          </w:p>
        </w:tc>
        <w:tc>
          <w:tcPr>
            <w:tcW w:type="dxa" w:w="3000"/>
            <w:tcMar>
              <w:top w:type="dxa" w:w="100"/>
              <w:left w:type="dxa" w:w="120"/>
              <w:bottom w:type="dxa" w:w="100"/>
              <w:right w:type="dxa" w:w="120"/>
            </w:tcMar>
            <w:vAlign w:val="center"/>
          </w:tcPr>
          <w:p>
            <w:r>
              <w:rPr>
                <w:b w:val="false"/>
                <w:bCs w:val="false"/>
                <w:color w:val="000000"/>
                <w:sz w:val="20"/>
                <w:szCs w:val="20"/>
              </w:rPr>
              <w:t xml:space="preserve">Low–Medium</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Upfront Cost</w:t>
            </w:r>
          </w:p>
        </w:tc>
        <w:tc>
          <w:tcPr>
            <w:tcW w:type="dxa" w:w="3000"/>
            <w:tcMar>
              <w:top w:type="dxa" w:w="100"/>
              <w:left w:type="dxa" w:w="120"/>
              <w:bottom w:type="dxa" w:w="100"/>
              <w:right w:type="dxa" w:w="120"/>
            </w:tcMar>
            <w:vAlign w:val="center"/>
          </w:tcPr>
          <w:p>
            <w:r>
              <w:rPr>
                <w:b w:val="false"/>
                <w:bCs w:val="false"/>
                <w:color w:val="000000"/>
                <w:sz w:val="20"/>
                <w:szCs w:val="20"/>
              </w:rPr>
              <w:t xml:space="preserve">Low</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Long-Term Licensing Cost</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Medium–High</w:t>
            </w:r>
          </w:p>
        </w:tc>
        <w:tc>
          <w:tcPr>
            <w:tcW w:type="dxa" w:w="3000"/>
            <w:tcMar>
              <w:top w:type="dxa" w:w="100"/>
              <w:left w:type="dxa" w:w="120"/>
              <w:bottom w:type="dxa" w:w="100"/>
              <w:right w:type="dxa" w:w="120"/>
            </w:tcMar>
            <w:vAlign w:val="center"/>
          </w:tcPr>
          <w:p>
            <w:r>
              <w:rPr>
                <w:b w:val="false"/>
                <w:bCs w:val="false"/>
                <w:color w:val="000000"/>
                <w:sz w:val="20"/>
                <w:szCs w:val="20"/>
              </w:rPr>
              <w:t xml:space="preserve">Low</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Scalability (extreme loads)</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Portability</w:t>
            </w:r>
          </w:p>
        </w:tc>
        <w:tc>
          <w:tcPr>
            <w:tcW w:type="dxa" w:w="3000"/>
            <w:tcMar>
              <w:top w:type="dxa" w:w="100"/>
              <w:left w:type="dxa" w:w="120"/>
              <w:bottom w:type="dxa" w:w="100"/>
              <w:right w:type="dxa" w:w="120"/>
            </w:tcMar>
            <w:vAlign w:val="center"/>
          </w:tcPr>
          <w:p>
            <w:r>
              <w:rPr>
                <w:b w:val="false"/>
                <w:bCs w:val="false"/>
                <w:color w:val="000000"/>
                <w:sz w:val="20"/>
                <w:szCs w:val="20"/>
              </w:rPr>
              <w:t xml:space="preserve">Low</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Maintainability (simple changes)</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Maintainability (complex logic)</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Governance / Shadow-IT Risk</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 risk</w:t>
            </w:r>
          </w:p>
        </w:tc>
        <w:tc>
          <w:tcPr>
            <w:tcW w:type="dxa" w:w="3000"/>
            <w:tcMar>
              <w:top w:type="dxa" w:w="100"/>
              <w:left w:type="dxa" w:w="120"/>
              <w:bottom w:type="dxa" w:w="100"/>
              <w:right w:type="dxa" w:w="120"/>
            </w:tcMar>
            <w:vAlign w:val="center"/>
          </w:tcPr>
          <w:p>
            <w:r>
              <w:rPr>
                <w:b w:val="false"/>
                <w:bCs w:val="false"/>
                <w:color w:val="000000"/>
                <w:sz w:val="20"/>
                <w:szCs w:val="20"/>
              </w:rPr>
              <w:t xml:space="preserve">Low risk</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Pre-built Integrations</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c>
          <w:tcPr>
            <w:tcW w:type="dxa" w:w="3000"/>
            <w:tcMar>
              <w:top w:type="dxa" w:w="100"/>
              <w:left w:type="dxa" w:w="120"/>
              <w:bottom w:type="dxa" w:w="100"/>
              <w:right w:type="dxa" w:w="120"/>
            </w:tcMar>
            <w:vAlign w:val="center"/>
          </w:tcPr>
          <w:p>
            <w:r>
              <w:rPr>
                <w:b w:val="false"/>
                <w:bCs w:val="false"/>
                <w:color w:val="000000"/>
                <w:sz w:val="20"/>
                <w:szCs w:val="20"/>
              </w:rPr>
              <w:t xml:space="preserve">Low (custom-built)</w:t>
            </w:r>
          </w:p>
        </w:tc>
      </w:tr>
    </w:tbl>
    <w:p>
      <w:pPr>
        <w:spacing w:after="200"/>
      </w:pPr>
    </w:p>
    <w:p>
      <w:r>
        <w:br w:type="page"/>
      </w:r>
    </w:p>
    <w:p>
      <w:pPr>
        <w:pStyle w:val="Heading1"/>
        <w:spacing w:after="180" w:before="360"/>
      </w:pPr>
      <w:r>
        <w:t xml:space="preserve">4. Detailed Dimension-by-Dimension Analysis</w:t>
      </w:r>
    </w:p>
    <w:p>
      <w:pPr>
        <w:pStyle w:val="Heading2"/>
        <w:spacing w:after="120" w:before="260"/>
      </w:pPr>
      <w:r>
        <w:t xml:space="preserve">4.1 Development Speed</w:t>
      </w:r>
    </w:p>
    <w:p>
      <w:pPr>
        <w:spacing w:after="80"/>
      </w:pPr>
      <w:r>
        <w:rPr>
          <w:b/>
          <w:bCs/>
          <w:color w:val="1F4E79"/>
          <w:sz w:val="22"/>
          <w:szCs w:val="22"/>
        </w:rPr>
        <w:t xml:space="preserve">Low-code: </w:t>
      </w:r>
      <w:r>
        <w:rPr>
          <w:sz w:val="22"/>
          <w:szCs w:val="22"/>
        </w:rPr>
        <w:t xml:space="preserve">Low-code platforms dramatically compress the time from idea to working software. Standard business applications — forms, approval workflows, dashboards, and CRUD (create-read-update-delete) apps — can go from concept to functioning prototype in days rather than weeks. This speed comes from reusable components, built-in data binding, and automatic handling of boilerplate concerns such as authentication scaffolding and basic CRUD operations.</w:t>
      </w:r>
    </w:p>
    <w:p>
      <w:pPr>
        <w:spacing w:after="200"/>
      </w:pPr>
      <w:r>
        <w:rPr>
          <w:b/>
          <w:bCs/>
          <w:color w:val="1F4E79"/>
          <w:sz w:val="22"/>
          <w:szCs w:val="22"/>
        </w:rPr>
        <w:t xml:space="preserve">Traditional: </w:t>
      </w:r>
      <w:r>
        <w:rPr>
          <w:sz w:val="22"/>
          <w:szCs w:val="22"/>
        </w:rPr>
        <w:t xml:space="preserve">Traditional development requires building every layer from scratch: UI components, business logic, data access, and infrastructure. This front-loads more time into initial development. However, for genuinely novel functionality that has no equivalent low-code component, traditional development can actually be faster because there is no fight against platform constraints.</w:t>
      </w:r>
    </w:p>
    <w:p>
      <w:pPr>
        <w:pStyle w:val="Heading2"/>
        <w:spacing w:after="120" w:before="260"/>
      </w:pPr>
      <w:r>
        <w:t xml:space="preserve">4.2 Flexibility and Customization</w:t>
      </w:r>
    </w:p>
    <w:p>
      <w:pPr>
        <w:spacing w:after="80"/>
      </w:pPr>
      <w:r>
        <w:rPr>
          <w:b/>
          <w:bCs/>
          <w:color w:val="1F4E79"/>
          <w:sz w:val="22"/>
          <w:szCs w:val="22"/>
        </w:rPr>
        <w:t xml:space="preserve">Low-code: </w:t>
      </w:r>
      <w:r>
        <w:rPr>
          <w:sz w:val="22"/>
          <w:szCs w:val="22"/>
        </w:rPr>
        <w:t xml:space="preserve">Low-code tools are bounded by their component libraries and underlying architecture. Highly bespoke user interfaces, unconventional interaction patterns, or novel algorithms are difficult — sometimes impossible — to implement without dropping into custom code extensions, which reintroduces much of the complexity low-code was meant to avoid.</w:t>
      </w:r>
    </w:p>
    <w:p>
      <w:pPr>
        <w:spacing w:after="200"/>
      </w:pPr>
      <w:r>
        <w:rPr>
          <w:b/>
          <w:bCs/>
          <w:color w:val="1F4E79"/>
          <w:sz w:val="22"/>
          <w:szCs w:val="22"/>
        </w:rPr>
        <w:t xml:space="preserve">Traditional: </w:t>
      </w:r>
      <w:r>
        <w:rPr>
          <w:sz w:val="22"/>
          <w:szCs w:val="22"/>
        </w:rPr>
        <w:t xml:space="preserve">Because every line of a traditionally built application is authored intentionally, there is effectively no ceiling on what can be built. Custom algorithms, unusual UI/UX, and deep architectural optimization are all fully achievable.</w:t>
      </w:r>
    </w:p>
    <w:p>
      <w:pPr>
        <w:pStyle w:val="Heading2"/>
        <w:spacing w:after="120" w:before="260"/>
      </w:pPr>
      <w:r>
        <w:t xml:space="preserve">4.3 Required Skills and Team Composition</w:t>
      </w:r>
    </w:p>
    <w:p>
      <w:pPr>
        <w:spacing w:after="80"/>
      </w:pPr>
      <w:r>
        <w:rPr>
          <w:b/>
          <w:bCs/>
          <w:color w:val="1F4E79"/>
          <w:sz w:val="22"/>
          <w:szCs w:val="22"/>
        </w:rPr>
        <w:t xml:space="preserve">Low-code: </w:t>
      </w:r>
      <w:r>
        <w:rPr>
          <w:sz w:val="22"/>
          <w:szCs w:val="22"/>
        </w:rPr>
        <w:t xml:space="preserve">Low-code lowers the technical bar substantially. Business analysts and other non-engineers — often called "citizen developers" — can assemble functional applications with limited training, reducing organizational dependence on scarce senior engineering talent for straightforward use cases.</w:t>
      </w:r>
    </w:p>
    <w:p>
      <w:pPr>
        <w:spacing w:after="200"/>
      </w:pPr>
      <w:r>
        <w:rPr>
          <w:b/>
          <w:bCs/>
          <w:color w:val="1F4E79"/>
          <w:sz w:val="22"/>
          <w:szCs w:val="22"/>
        </w:rPr>
        <w:t xml:space="preserve">Traditional: </w:t>
      </w:r>
      <w:r>
        <w:rPr>
          <w:sz w:val="22"/>
          <w:szCs w:val="22"/>
        </w:rPr>
        <w:t xml:space="preserve">Traditional projects require trained software engineers and, for larger systems, a full cross-functional team spanning frontend, backend, DevOps, and quality assurance. This raises the skill and staffing bar considerably.</w:t>
      </w:r>
    </w:p>
    <w:p>
      <w:pPr>
        <w:pStyle w:val="Heading2"/>
        <w:spacing w:after="120" w:before="260"/>
      </w:pPr>
      <w:r>
        <w:t xml:space="preserve">4.4 Cost Structure</w:t>
      </w:r>
    </w:p>
    <w:p>
      <w:pPr>
        <w:spacing w:after="80"/>
      </w:pPr>
      <w:r>
        <w:rPr>
          <w:b/>
          <w:bCs/>
          <w:color w:val="1F4E79"/>
          <w:sz w:val="22"/>
          <w:szCs w:val="22"/>
        </w:rPr>
        <w:t xml:space="preserve">Low-code: </w:t>
      </w:r>
      <w:r>
        <w:rPr>
          <w:sz w:val="22"/>
          <w:szCs w:val="22"/>
        </w:rPr>
        <w:t xml:space="preserve">Low-code reduces upfront development cost because less custom engineering time is required. However, most platforms charge ongoing licensing fees — frequently per user or per application — which can grow substantial as usage scales, sometimes exceeding what equivalent custom development would have cost over a multi-year horizon.</w:t>
      </w:r>
    </w:p>
    <w:p>
      <w:pPr>
        <w:spacing w:after="200"/>
      </w:pPr>
      <w:r>
        <w:rPr>
          <w:b/>
          <w:bCs/>
          <w:color w:val="1F4E79"/>
          <w:sz w:val="22"/>
          <w:szCs w:val="22"/>
        </w:rPr>
        <w:t xml:space="preserve">Traditional: </w:t>
      </w:r>
      <w:r>
        <w:rPr>
          <w:sz w:val="22"/>
          <w:szCs w:val="22"/>
        </w:rPr>
        <w:t xml:space="preserve">Traditional development has a higher initial cost in salaries and time, but no recurring platform licensing fee. Total cost of ownership is largely a one-time investment plus ordinary maintenance, giving organizations more predictable long-run economics for large-scale or long-lived systems.</w:t>
      </w:r>
    </w:p>
    <w:p>
      <w:pPr>
        <w:pStyle w:val="Heading2"/>
        <w:spacing w:after="120" w:before="260"/>
      </w:pPr>
      <w:r>
        <w:t xml:space="preserve">4.5 Scalability and Performance</w:t>
      </w:r>
    </w:p>
    <w:p>
      <w:pPr>
        <w:spacing w:after="80"/>
      </w:pPr>
      <w:r>
        <w:rPr>
          <w:b/>
          <w:bCs/>
          <w:color w:val="1F4E79"/>
          <w:sz w:val="22"/>
          <w:szCs w:val="22"/>
        </w:rPr>
        <w:t xml:space="preserve">Low-code: </w:t>
      </w:r>
      <w:r>
        <w:rPr>
          <w:sz w:val="22"/>
          <w:szCs w:val="22"/>
        </w:rPr>
        <w:t xml:space="preserve">Low-code platforms are well suited to departmental or mid-sized applications. Because they run on an abstraction layer managed by the vendor, they can struggle with very high transaction volumes, computation-heavy workloads, or performance-critical paths where fine-grained optimization is required.</w:t>
      </w:r>
    </w:p>
    <w:p>
      <w:pPr>
        <w:spacing w:after="200"/>
      </w:pPr>
      <w:r>
        <w:rPr>
          <w:b/>
          <w:bCs/>
          <w:color w:val="1F4E79"/>
          <w:sz w:val="22"/>
          <w:szCs w:val="22"/>
        </w:rPr>
        <w:t xml:space="preserve">Traditional: </w:t>
      </w:r>
      <w:r>
        <w:rPr>
          <w:sz w:val="22"/>
          <w:szCs w:val="22"/>
        </w:rPr>
        <w:t xml:space="preserve">Traditional development allows precise control over algorithms, data structures, caching, and infrastructure, making it the standard choice for high-traffic, mission-critical, or computationally intensive systems where performance directly affects the business.</w:t>
      </w:r>
    </w:p>
    <w:p>
      <w:pPr>
        <w:pStyle w:val="Heading2"/>
        <w:spacing w:after="120" w:before="260"/>
      </w:pPr>
      <w:r>
        <w:t xml:space="preserve">4.6 Vendor Lock-in and Portability</w:t>
      </w:r>
    </w:p>
    <w:p>
      <w:pPr>
        <w:spacing w:after="80"/>
      </w:pPr>
      <w:r>
        <w:rPr>
          <w:b/>
          <w:bCs/>
          <w:color w:val="1F4E79"/>
          <w:sz w:val="22"/>
          <w:szCs w:val="22"/>
        </w:rPr>
        <w:t xml:space="preserve">Low-code: </w:t>
      </w:r>
      <w:r>
        <w:rPr>
          <w:sz w:val="22"/>
          <w:szCs w:val="22"/>
        </w:rPr>
        <w:t xml:space="preserve">Applications built on a low-code platform are typically tightly coupled to that vendor's runtime, data model, and proprietary visual logic representation. Migrating an application off the platform — or even to a different low-code vendor — can be costly, time-consuming, or in some cases practically infeasible.</w:t>
      </w:r>
    </w:p>
    <w:p>
      <w:pPr>
        <w:spacing w:after="200"/>
      </w:pPr>
      <w:r>
        <w:rPr>
          <w:b/>
          <w:bCs/>
          <w:color w:val="1F4E79"/>
          <w:sz w:val="22"/>
          <w:szCs w:val="22"/>
        </w:rPr>
        <w:t xml:space="preserve">Traditional: </w:t>
      </w:r>
      <w:r>
        <w:rPr>
          <w:sz w:val="22"/>
          <w:szCs w:val="22"/>
        </w:rPr>
        <w:t xml:space="preserve">Well-architected traditional applications are portable across cloud providers and runtime environments. The organization owns the complete source code and technology stack, with no dependency on a third-party platform's continued existence or pricing decisions.</w:t>
      </w:r>
    </w:p>
    <w:p>
      <w:pPr>
        <w:pStyle w:val="Heading2"/>
        <w:spacing w:after="120" w:before="260"/>
      </w:pPr>
      <w:r>
        <w:t xml:space="preserve">4.7 Maintenance and Long-Term Evolution</w:t>
      </w:r>
    </w:p>
    <w:p>
      <w:pPr>
        <w:spacing w:after="80"/>
      </w:pPr>
      <w:r>
        <w:rPr>
          <w:b/>
          <w:bCs/>
          <w:color w:val="1F4E79"/>
          <w:sz w:val="22"/>
          <w:szCs w:val="22"/>
        </w:rPr>
        <w:t xml:space="preserve">Low-code: </w:t>
      </w:r>
      <w:r>
        <w:rPr>
          <w:sz w:val="22"/>
          <w:szCs w:val="22"/>
        </w:rPr>
        <w:t xml:space="preserve">Minor changes — adjusting a form field, tweaking a workflow step — are simple to make visually, even for non-engineers. But as applications grow in complexity, logic embedded in proprietary visual workflows can become difficult to debug, test, or audit, a phenomenon often referred to as "low-code sprawl."</w:t>
      </w:r>
    </w:p>
    <w:p>
      <w:pPr>
        <w:spacing w:after="200"/>
      </w:pPr>
      <w:r>
        <w:rPr>
          <w:b/>
          <w:bCs/>
          <w:color w:val="1F4E79"/>
          <w:sz w:val="22"/>
          <w:szCs w:val="22"/>
        </w:rPr>
        <w:t xml:space="preserve">Traditional: </w:t>
      </w:r>
      <w:r>
        <w:rPr>
          <w:sz w:val="22"/>
          <w:szCs w:val="22"/>
        </w:rPr>
        <w:t xml:space="preserve">Maintaining traditional code requires trained developers, but the code itself is transparent, version-controllable through tools like Git, and testable using standard engineering practices such as automated unit tests and continuous integration pipelines — all of which support long-term maintainability at scale.</w:t>
      </w:r>
    </w:p>
    <w:p>
      <w:pPr>
        <w:pStyle w:val="Heading2"/>
        <w:spacing w:after="120" w:before="260"/>
      </w:pPr>
      <w:r>
        <w:t xml:space="preserve">4.8 Governance, Security, and Compliance</w:t>
      </w:r>
    </w:p>
    <w:p>
      <w:pPr>
        <w:spacing w:after="80"/>
      </w:pPr>
      <w:r>
        <w:rPr>
          <w:b/>
          <w:bCs/>
          <w:color w:val="1F4E79"/>
          <w:sz w:val="22"/>
          <w:szCs w:val="22"/>
        </w:rPr>
        <w:t xml:space="preserve">Low-code: </w:t>
      </w:r>
      <w:r>
        <w:rPr>
          <w:sz w:val="22"/>
          <w:szCs w:val="22"/>
        </w:rPr>
        <w:t xml:space="preserve">The ease with which citizen developers can build and publish apps creates a real risk of "shadow IT" — applications built and deployed outside formal IT oversight, potentially introducing security gaps or compliance violations unless the platform enforces strong centralized governance controls.</w:t>
      </w:r>
    </w:p>
    <w:p>
      <w:pPr>
        <w:spacing w:after="200"/>
      </w:pPr>
      <w:r>
        <w:rPr>
          <w:b/>
          <w:bCs/>
          <w:color w:val="1F4E79"/>
          <w:sz w:val="22"/>
          <w:szCs w:val="22"/>
        </w:rPr>
        <w:t xml:space="preserve">Traditional: </w:t>
      </w:r>
      <w:r>
        <w:rPr>
          <w:sz w:val="22"/>
          <w:szCs w:val="22"/>
        </w:rPr>
        <w:t xml:space="preserve">Traditional development gives the organization full control over how security and compliance are implemented, including custom audit trails and regulatory logic. This control comes with full responsibility: the burden of getting security right rests entirely with the engineering team.</w:t>
      </w:r>
    </w:p>
    <w:p>
      <w:pPr>
        <w:pStyle w:val="Heading2"/>
        <w:spacing w:after="120" w:before="260"/>
      </w:pPr>
      <w:r>
        <w:t xml:space="preserve">4.9 Integration Capability</w:t>
      </w:r>
    </w:p>
    <w:p>
      <w:pPr>
        <w:spacing w:after="80"/>
      </w:pPr>
      <w:r>
        <w:rPr>
          <w:b/>
          <w:bCs/>
          <w:color w:val="1F4E79"/>
          <w:sz w:val="22"/>
          <w:szCs w:val="22"/>
        </w:rPr>
        <w:t xml:space="preserve">Low-code: </w:t>
      </w:r>
      <w:r>
        <w:rPr>
          <w:sz w:val="22"/>
          <w:szCs w:val="22"/>
        </w:rPr>
        <w:t xml:space="preserve">Most low-code platforms ship with a large catalog of pre-built connectors to popular SaaS systems — Salesforce, SAP, Microsoft 365, and similar — making integration with mainstream enterprise tools fast to configure.</w:t>
      </w:r>
    </w:p>
    <w:p>
      <w:pPr>
        <w:spacing w:after="200"/>
      </w:pPr>
      <w:r>
        <w:rPr>
          <w:b/>
          <w:bCs/>
          <w:color w:val="1F4E79"/>
          <w:sz w:val="22"/>
          <w:szCs w:val="22"/>
        </w:rPr>
        <w:t xml:space="preserve">Traditional: </w:t>
      </w:r>
      <w:r>
        <w:rPr>
          <w:sz w:val="22"/>
          <w:szCs w:val="22"/>
        </w:rPr>
        <w:t xml:space="preserve">Traditional development can integrate with virtually any system, including legacy, proprietary, or niche platforms that lack pre-built connectors, but each such integration must be custom-built and maintained by the engineering team.</w:t>
      </w:r>
    </w:p>
    <w:p>
      <w:r>
        <w:br w:type="page"/>
      </w:r>
    </w:p>
    <w:p>
      <w:pPr>
        <w:pStyle w:val="Heading1"/>
        <w:spacing w:after="180" w:before="360"/>
      </w:pPr>
      <w:r>
        <w:t xml:space="preserve">5. Choosing the Right Approach by Scenario</w:t>
      </w:r>
    </w:p>
    <w:p>
      <w:pPr>
        <w:spacing w:after="160" w:line="276"/>
      </w:pPr>
      <w:r>
        <w:rPr>
          <w:sz w:val="22"/>
          <w:szCs w:val="22"/>
        </w:rPr>
        <w:t xml:space="preserve">In practice, the choice between low-code and traditional development is rarely absolute. The following table maps common project scenarios to the approach that tends to serve them best.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4E79" w:val="clear"/>
            <w:tcMar>
              <w:top w:type="dxa" w:w="100"/>
              <w:left w:type="dxa" w:w="120"/>
              <w:bottom w:type="dxa" w:w="100"/>
              <w:right w:type="dxa" w:w="120"/>
            </w:tcMar>
            <w:vAlign w:val="center"/>
          </w:tcPr>
          <w:p>
            <w:r>
              <w:rPr>
                <w:b/>
                <w:bCs/>
                <w:color w:val="FFFFFF"/>
                <w:sz w:val="20"/>
                <w:szCs w:val="20"/>
              </w:rPr>
              <w:t xml:space="preserve">Scenario</w:t>
            </w:r>
          </w:p>
        </w:tc>
        <w:tc>
          <w:tcPr>
            <w:tcW w:type="dxa" w:w="4000"/>
            <w:shd w:fill="1F4E79" w:val="clear"/>
            <w:tcMar>
              <w:top w:type="dxa" w:w="100"/>
              <w:left w:type="dxa" w:w="120"/>
              <w:bottom w:type="dxa" w:w="100"/>
              <w:right w:type="dxa" w:w="120"/>
            </w:tcMar>
            <w:vAlign w:val="center"/>
          </w:tcPr>
          <w:p>
            <w:r>
              <w:rPr>
                <w:b/>
                <w:bCs/>
                <w:color w:val="FFFFFF"/>
                <w:sz w:val="20"/>
                <w:szCs w:val="20"/>
              </w:rPr>
              <w:t xml:space="preserve">Better Fit</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Internal tools, workflow automation, MVPs</w:t>
            </w:r>
          </w:p>
        </w:tc>
        <w:tc>
          <w:tcPr>
            <w:tcW w:type="dxa" w:w="4000"/>
            <w:tcMar>
              <w:top w:type="dxa" w:w="100"/>
              <w:left w:type="dxa" w:w="120"/>
              <w:bottom w:type="dxa" w:w="100"/>
              <w:right w:type="dxa" w:w="120"/>
            </w:tcMar>
            <w:vAlign w:val="center"/>
          </w:tcPr>
          <w:p>
            <w:r>
              <w:rPr>
                <w:b w:val="false"/>
                <w:bCs w:val="false"/>
                <w:color w:val="000000"/>
                <w:sz w:val="20"/>
                <w:szCs w:val="20"/>
              </w:rPr>
              <w:t xml:space="preserve">Low-code</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Departmental apps with standard CRUD needs</w:t>
            </w:r>
          </w:p>
        </w:tc>
        <w:tc>
          <w:tcPr>
            <w:tcW w:type="dxa" w:w="4000"/>
            <w:tcMar>
              <w:top w:type="dxa" w:w="100"/>
              <w:left w:type="dxa" w:w="120"/>
              <w:bottom w:type="dxa" w:w="100"/>
              <w:right w:type="dxa" w:w="120"/>
            </w:tcMar>
            <w:vAlign w:val="center"/>
          </w:tcPr>
          <w:p>
            <w:r>
              <w:rPr>
                <w:b w:val="false"/>
                <w:bCs w:val="false"/>
                <w:color w:val="000000"/>
                <w:sz w:val="20"/>
                <w:szCs w:val="20"/>
              </w:rPr>
              <w:t xml:space="preserve">Low-code</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Rapid prototyping to validate an idea</w:t>
            </w:r>
          </w:p>
        </w:tc>
        <w:tc>
          <w:tcPr>
            <w:tcW w:type="dxa" w:w="4000"/>
            <w:tcMar>
              <w:top w:type="dxa" w:w="100"/>
              <w:left w:type="dxa" w:w="120"/>
              <w:bottom w:type="dxa" w:w="100"/>
              <w:right w:type="dxa" w:w="120"/>
            </w:tcMar>
            <w:vAlign w:val="center"/>
          </w:tcPr>
          <w:p>
            <w:r>
              <w:rPr>
                <w:b w:val="false"/>
                <w:bCs w:val="false"/>
                <w:color w:val="000000"/>
                <w:sz w:val="20"/>
                <w:szCs w:val="20"/>
              </w:rPr>
              <w:t xml:space="preserve">Low-code</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Teams with limited engineering resources</w:t>
            </w:r>
          </w:p>
        </w:tc>
        <w:tc>
          <w:tcPr>
            <w:tcW w:type="dxa" w:w="4000"/>
            <w:tcMar>
              <w:top w:type="dxa" w:w="100"/>
              <w:left w:type="dxa" w:w="120"/>
              <w:bottom w:type="dxa" w:w="100"/>
              <w:right w:type="dxa" w:w="120"/>
            </w:tcMar>
            <w:vAlign w:val="center"/>
          </w:tcPr>
          <w:p>
            <w:r>
              <w:rPr>
                <w:b w:val="false"/>
                <w:bCs w:val="false"/>
                <w:color w:val="000000"/>
                <w:sz w:val="20"/>
                <w:szCs w:val="20"/>
              </w:rPr>
              <w:t xml:space="preserve">Low-code</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High-performance, high-scale consumer products</w:t>
            </w:r>
          </w:p>
        </w:tc>
        <w:tc>
          <w:tcPr>
            <w:tcW w:type="dxa" w:w="4000"/>
            <w:tcMar>
              <w:top w:type="dxa" w:w="100"/>
              <w:left w:type="dxa" w:w="120"/>
              <w:bottom w:type="dxa" w:w="100"/>
              <w:right w:type="dxa" w:w="120"/>
            </w:tcMar>
            <w:vAlign w:val="center"/>
          </w:tcPr>
          <w:p>
            <w:r>
              <w:rPr>
                <w:b w:val="false"/>
                <w:bCs w:val="false"/>
                <w:color w:val="000000"/>
                <w:sz w:val="20"/>
                <w:szCs w:val="20"/>
              </w:rPr>
              <w:t xml:space="preserve">Traditional</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Highly regulated systems with custom compliance logic</w:t>
            </w:r>
          </w:p>
        </w:tc>
        <w:tc>
          <w:tcPr>
            <w:tcW w:type="dxa" w:w="4000"/>
            <w:tcMar>
              <w:top w:type="dxa" w:w="100"/>
              <w:left w:type="dxa" w:w="120"/>
              <w:bottom w:type="dxa" w:w="100"/>
              <w:right w:type="dxa" w:w="120"/>
            </w:tcMar>
            <w:vAlign w:val="center"/>
          </w:tcPr>
          <w:p>
            <w:r>
              <w:rPr>
                <w:b w:val="false"/>
                <w:bCs w:val="false"/>
                <w:color w:val="000000"/>
                <w:sz w:val="20"/>
                <w:szCs w:val="20"/>
              </w:rPr>
              <w:t xml:space="preserve">Traditional</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Novel products / unique competitive differentiation</w:t>
            </w:r>
          </w:p>
        </w:tc>
        <w:tc>
          <w:tcPr>
            <w:tcW w:type="dxa" w:w="4000"/>
            <w:tcMar>
              <w:top w:type="dxa" w:w="100"/>
              <w:left w:type="dxa" w:w="120"/>
              <w:bottom w:type="dxa" w:w="100"/>
              <w:right w:type="dxa" w:w="120"/>
            </w:tcMar>
            <w:vAlign w:val="center"/>
          </w:tcPr>
          <w:p>
            <w:r>
              <w:rPr>
                <w:b w:val="false"/>
                <w:bCs w:val="false"/>
                <w:color w:val="000000"/>
                <w:sz w:val="20"/>
                <w:szCs w:val="20"/>
              </w:rPr>
              <w:t xml:space="preserve">Traditional</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Deep integration with legacy or proprietary systems</w:t>
            </w:r>
          </w:p>
        </w:tc>
        <w:tc>
          <w:tcPr>
            <w:tcW w:type="dxa" w:w="4000"/>
            <w:tcMar>
              <w:top w:type="dxa" w:w="100"/>
              <w:left w:type="dxa" w:w="120"/>
              <w:bottom w:type="dxa" w:w="100"/>
              <w:right w:type="dxa" w:w="120"/>
            </w:tcMar>
            <w:vAlign w:val="center"/>
          </w:tcPr>
          <w:p>
            <w:r>
              <w:rPr>
                <w:b w:val="false"/>
                <w:bCs w:val="false"/>
                <w:color w:val="000000"/>
                <w:sz w:val="20"/>
                <w:szCs w:val="20"/>
              </w:rPr>
              <w:t xml:space="preserve">Traditional</w:t>
            </w:r>
          </w:p>
        </w:tc>
      </w:tr>
    </w:tbl>
    <w:p>
      <w:pPr>
        <w:spacing w:after="200"/>
      </w:pPr>
    </w:p>
    <w:p>
      <w:pPr>
        <w:pStyle w:val="Heading1"/>
        <w:spacing w:after="180" w:before="360"/>
      </w:pPr>
      <w:r>
        <w:t xml:space="preserve">6. The Hybrid Approach</w:t>
      </w:r>
    </w:p>
    <w:p>
      <w:pPr>
        <w:spacing w:after="160" w:line="276"/>
      </w:pPr>
      <w:r>
        <w:rPr>
          <w:sz w:val="22"/>
          <w:szCs w:val="22"/>
        </w:rPr>
        <w:t xml:space="preserve">A growing number of organizations do not treat this as an either/or decision. Instead, they adopt a hybrid model: low-code platforms handle internal tools, prototypes, and standard business applications, while traditional development is reserved for core products, performance-critical systems, and anything requiring deep customization or competitive differentiation.</w:t>
      </w:r>
    </w:p>
    <w:p>
      <w:pPr>
        <w:spacing w:after="160" w:line="276"/>
      </w:pPr>
      <w:r>
        <w:rPr>
          <w:sz w:val="22"/>
          <w:szCs w:val="22"/>
        </w:rPr>
        <w:t xml:space="preserve">Several low-code platforms now also support "code injection" or embedded custom scripting, allowing teams to extend beyond the platform's visual limits when needed. This blurs the boundary between the two approaches and lets organizations capture the speed benefits of low-code without fully sacrificing flexibility where it matters most.</w:t>
      </w:r>
    </w:p>
    <w:p>
      <w:pPr>
        <w:spacing w:after="160" w:line="276"/>
      </w:pPr>
      <w:r>
        <w:rPr>
          <w:sz w:val="22"/>
          <w:szCs w:val="22"/>
        </w:rPr>
        <w:t xml:space="preserve">Common hybrid patterns include:</w:t>
      </w:r>
    </w:p>
    <w:p>
      <w:pPr>
        <w:pStyle w:val="ListParagraph"/>
        <w:numPr>
          <w:ilvl w:val="0"/>
          <w:numId w:val="2"/>
        </w:numPr>
        <w:spacing w:after="80"/>
      </w:pPr>
      <w:r>
        <w:rPr>
          <w:sz w:val="22"/>
          <w:szCs w:val="22"/>
        </w:rPr>
        <w:t xml:space="preserve">Using low-code for internal-facing admin panels and dashboards, and traditional code for the customer-facing product.</w:t>
      </w:r>
    </w:p>
    <w:p>
      <w:pPr>
        <w:pStyle w:val="ListParagraph"/>
        <w:numPr>
          <w:ilvl w:val="0"/>
          <w:numId w:val="2"/>
        </w:numPr>
        <w:spacing w:after="80"/>
      </w:pPr>
      <w:r>
        <w:rPr>
          <w:sz w:val="22"/>
          <w:szCs w:val="22"/>
        </w:rPr>
        <w:t xml:space="preserve">Prototyping a new feature in low-code to validate demand, then rebuilding it in traditional code once it needs to scale.</w:t>
      </w:r>
    </w:p>
    <w:p>
      <w:pPr>
        <w:pStyle w:val="ListParagraph"/>
        <w:numPr>
          <w:ilvl w:val="0"/>
          <w:numId w:val="2"/>
        </w:numPr>
        <w:spacing w:after="80"/>
      </w:pPr>
      <w:r>
        <w:rPr>
          <w:sz w:val="22"/>
          <w:szCs w:val="22"/>
        </w:rPr>
        <w:t xml:space="preserve">Allowing citizen developers to build departmental apps under IT-defined governance guardrails, while the core platform remains professionally engineered.</w:t>
      </w:r>
    </w:p>
    <w:p>
      <w:pPr>
        <w:pStyle w:val="Heading1"/>
        <w:spacing w:after="180" w:before="360"/>
      </w:pPr>
      <w:r>
        <w:t xml:space="preserve">7. Conclusion</w:t>
      </w:r>
    </w:p>
    <w:p>
      <w:pPr>
        <w:spacing w:after="160" w:line="276"/>
      </w:pPr>
      <w:r>
        <w:rPr>
          <w:sz w:val="22"/>
          <w:szCs w:val="22"/>
        </w:rPr>
        <w:t xml:space="preserve">Low-code development optimizes for speed and accessibility at the cost of flexibility and long-term control. Traditional development optimizes for flexibility, performance, and long-term scalability at the cost of speed and the specialized expertise it requires.</w:t>
      </w:r>
    </w:p>
    <w:p>
      <w:pPr>
        <w:spacing w:after="160" w:line="276"/>
      </w:pPr>
      <w:r>
        <w:rPr>
          <w:sz w:val="22"/>
          <w:szCs w:val="22"/>
        </w:rPr>
        <w:t xml:space="preserve">Neither approach is inherently superior; the right choice depends on the application's expected complexity, performance requirements, expected lifespan, regulatory context, and the skills already available within the team. Organizations that recognize this — and deliberately combine both approaches where each is strongest — are best positioned to deliver software quickly without sacrificing the long-term integrity of their core systems.</w:t>
      </w:r>
    </w:p>
    <w:p>
      <w:pPr>
        <w:spacing w:after="160" w:line="276"/>
      </w:pPr>
      <w:r>
        <w:rPr>
          <w:sz w:val="22"/>
          <w:szCs w:val="22"/>
        </w:rPr>
        <w:t xml:space="preserve">As low-code platforms continue to mature, offering deeper customization, better governance tooling, and more scalable runtimes, the practical gap between the two approaches is likely to narrow further, making the hybrid model an increasingly durable default strategy rather than a temporary compromise.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Low-Code vs. Traditional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2026-07-21T05:04:38.871Z</dcterms:created>
  <dcterms:modified xsi:type="dcterms:W3CDTF">2026-07-21T05:04:38.872Z</dcterms:modified>
</cp:coreProperties>
</file>

<file path=docProps/custom.xml><?xml version="1.0" encoding="utf-8"?>
<Properties xmlns="http://schemas.openxmlformats.org/officeDocument/2006/custom-properties" xmlns:vt="http://schemas.openxmlformats.org/officeDocument/2006/docPropsVTypes"/>
</file>