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Create these tables in the database by running the database script provided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The script also has statements to insert appropriate data into all these tables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Test the successful execution of the script by selecting some rows from few tables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Clearly understand the structure of each table and relationships among them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Insert / update appropriate rows into relevant tables if you need to get more rows in the output to verify your answers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 – Write SQL queries to get data for following requirements: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Show the percentage of wins of each bidder in the order of highest to lowest percentage.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Which teams have got the highest and the lowest no. of bids?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 a given stadium, what is the percentage of wins by a team which has won the toss?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What is the total no. of bids placed on the team that has won the highest no. of matches?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From the current team standings, if a bidder places a bid on which of the teams, there is a possibility of (s)he winning the highest no. of points – in simple words, identify the team which has the highest jump in its total points (in terms of percentage) from the previous year to current year.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https://drive.google.com/file/d/1Sn3JjpYJz27xhuoirfjGXKFRZOxZ3860/view?usp=drive_link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Sn3JjpYJz27xhuoirfjGXKFRZOxZ3860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