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Project Health Reporting Agent</w:t>
      </w:r>
    </w:p>
    <w:p>
      <w:pPr>
        <w:pBdr>
          <w:bottom w:val="single" w:color="1F3864" w:sz="6" w:space="4"/>
        </w:pBdr>
        <w:spacing w:after="2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Phase 1 — RAG Status Methodology (One Page)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Approach</w:t>
      </w:r>
    </w:p>
    <w:p>
      <w:p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Project health is determined by a weighted composite score across six signals, each rated 0 (healthy) / 1 (at risk) / 2 (critical) and multiplied by its weight below. Weights sum to 100. The composite score is then banded into a RAG status, subject to override rules that can force a status regardless of the score — because one severe risk should never be diluted by five healthy metrics.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Signals and Weights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050"/>
        <w:gridCol w:w="3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900"/>
            <w:shd w:fill="1F386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Weight</w:t>
            </w:r>
          </w:p>
        </w:tc>
        <w:tc>
          <w:tcPr>
            <w:tcW w:type="dxa" w:w="3050"/>
            <w:shd w:fill="1F386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measures</w:t>
            </w:r>
          </w:p>
        </w:tc>
        <w:tc>
          <w:tcPr>
            <w:tcW w:type="dxa" w:w="3000"/>
            <w:shd w:fill="1F386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it's scored (0 / 1 / 2)</w:t>
            </w:r>
          </w:p>
        </w:tc>
      </w:tr>
      <w:tr>
        <w:tc>
          <w:tcPr>
            <w:tcW w:type="dxa" w:w="240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Schedule Slippage</w:t>
            </w:r>
          </w:p>
        </w:tc>
        <w:tc>
          <w:tcPr>
            <w:tcW w:type="dxa" w:w="90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25</w:t>
            </w:r>
          </w:p>
        </w:tc>
        <w:tc>
          <w:tcPr>
            <w:tcW w:type="dxa" w:w="305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Baseline vs. actual Start/Finish and Variance, weighted by Total Float (0 float = no slack to absorb delay).</w:t>
            </w:r>
          </w:p>
        </w:tc>
        <w:tc>
          <w:tcPr>
            <w:tcW w:type="dxa" w:w="300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 = on/ahead of baseline · 1 = slipping but float remains · 2 = slipping with zero float on a critical task</w:t>
            </w:r>
          </w:p>
        </w:tc>
      </w:tr>
      <w:tr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Milestone / Task Progress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3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% Complete compared against % of planned duration elapsed (Today's Date vs. Start/End Date), rolled up by Phase/Milestone.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 = complete% ≥ time-elapsed% · 1 = within 15 pts behind · 2 = more than 15 pts behind plan</w:t>
            </w:r>
          </w:p>
        </w:tc>
      </w:tr>
      <w:tr>
        <w:tc>
          <w:tcPr>
            <w:tcW w:type="dxa" w:w="240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Blockers</w:t>
            </w:r>
          </w:p>
        </w:tc>
        <w:tc>
          <w:tcPr>
            <w:tcW w:type="dxa" w:w="90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305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Open items surfaced in Status Comment / Comments sheet that are unresolved across more than one reporting cycle.</w:t>
            </w:r>
          </w:p>
        </w:tc>
        <w:tc>
          <w:tcPr>
            <w:tcW w:type="dxa" w:w="300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 = none open · 1 = open blocker(s) &lt; 14 days old · 2 = any blocker open ≥ 14 days or blocking a critical task</w:t>
            </w:r>
          </w:p>
        </w:tc>
      </w:tr>
      <w:tr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Stakeholder Sentiment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15</w:t>
            </w:r>
          </w:p>
        </w:tc>
        <w:tc>
          <w:tcPr>
            <w:tcW w:type="dxa" w:w="3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Tone of PM/client free-text comments (LLM-assessed): confidence, frustration, escalation language, repeated asks.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 = neutral/positive · 1 = mild concern or friction language · 2 = escalation, repeated unresolved asks, or explicit frustration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Critical Path Exposure</w:t>
            </w:r>
          </w:p>
        </w:tc>
        <w:tc>
          <w:tcPr>
            <w:tcW w:type="dxa" w:w="90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305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Whether at-risk tasks sit on the critical path (Critical? = TRUE) versus tasks with slack.</w:t>
            </w:r>
          </w:p>
        </w:tc>
        <w:tc>
          <w:tcPr>
            <w:tcW w:type="dxa" w:w="300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 = no critical-path tasks at risk · 1 = one critical-path task at risk · 2 = multiple / cascading critical-path risk</w:t>
            </w:r>
          </w:p>
        </w:tc>
      </w:tr>
      <w:tr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Data Completeness / Confidence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30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Proportion of #UNPARSEABLE, blank, or missing fields in the source extract for this project.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 = &lt;5% fields missing · 1 = 5–20% missing · 2 = &gt;20% missing (status is a low-confidence estimate)</w:t>
            </w:r>
          </w:p>
        </w:tc>
      </w:tr>
    </w:tbl>
    <w:p>
      <w:pPr>
        <w:spacing w:after="20" w:before="60"/>
      </w:pP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Composite → RAG Bands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</w:tblGrid>
      <w:tr>
        <w:tc>
          <w:tcPr>
            <w:tcW w:type="dxa" w:w="2100"/>
            <w:shd w:fill="1E714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GREEN</w:t>
            </w:r>
          </w:p>
        </w:tc>
        <w:tc>
          <w:tcPr>
            <w:tcW w:type="dxa" w:w="2100"/>
            <w:shd w:fill="B8860B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AMBER</w:t>
            </w:r>
          </w:p>
        </w:tc>
        <w:tc>
          <w:tcPr>
            <w:tcW w:type="dxa" w:w="2100"/>
            <w:shd w:fill="B2222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RED</w:t>
            </w:r>
          </w:p>
        </w:tc>
      </w:tr>
      <w:tr>
        <w:tc>
          <w:tcPr>
            <w:tcW w:type="dxa" w:w="21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Composite score ≥ 80</w:t>
            </w:r>
          </w:p>
        </w:tc>
        <w:tc>
          <w:tcPr>
            <w:tcW w:type="dxa" w:w="21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Composite score 50–79</w:t>
            </w:r>
          </w:p>
        </w:tc>
        <w:tc>
          <w:tcPr>
            <w:tcW w:type="dxa" w:w="21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Composite score &lt; 50</w:t>
            </w:r>
          </w:p>
        </w:tc>
      </w:tr>
    </w:tbl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Override Rules (bypass the composite score)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50"/>
      </w:tblGrid>
      <w:tr>
        <w:trPr>
          <w:tblHeader/>
        </w:trPr>
        <w:tc>
          <w:tcPr>
            <w:tcW w:type="dxa" w:w="3500"/>
            <w:shd w:fill="1F386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Override Trigger</w:t>
            </w:r>
          </w:p>
        </w:tc>
        <w:tc>
          <w:tcPr>
            <w:tcW w:type="dxa" w:w="5850"/>
            <w:shd w:fill="1F386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Forced Outcome</w:t>
            </w:r>
          </w:p>
        </w:tc>
      </w:tr>
      <w:tr>
        <w:tc>
          <w:tcPr>
            <w:tcW w:type="dxa" w:w="350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Any blocker open ≥ 21 days, unresolved across 3+ consecutive weekly reports</w:t>
            </w:r>
          </w:p>
        </w:tc>
        <w:tc>
          <w:tcPr>
            <w:tcW w:type="dxa" w:w="585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2222"/>
                <w:sz w:val="16"/>
                <w:szCs w:val="16"/>
              </w:rPr>
              <w:t xml:space="preserve">Force RED regardless of composite score</w:t>
            </w:r>
          </w:p>
        </w:tc>
      </w:tr>
      <w:tr>
        <w:tc>
          <w:tcPr>
            <w:tcW w:type="dxa" w:w="3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Zero-float critical task slipping by more than 20% of total project duration</w:t>
            </w:r>
          </w:p>
        </w:tc>
        <w:tc>
          <w:tcPr>
            <w:tcW w:type="dxa" w:w="58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2222"/>
                <w:sz w:val="16"/>
                <w:szCs w:val="16"/>
              </w:rPr>
              <w:t xml:space="preserve">Force RED regardless of composite score</w:t>
            </w:r>
          </w:p>
        </w:tc>
      </w:tr>
      <w:tr>
        <w:tc>
          <w:tcPr>
            <w:tcW w:type="dxa" w:w="350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Data completeness &lt; 80% for the project extract</w:t>
            </w:r>
          </w:p>
        </w:tc>
        <w:tc>
          <w:tcPr>
            <w:tcW w:type="dxa" w:w="5850"/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Cap status at AMBER maximum and flag as "Low Confidence" — insufficient data to certify Green</w:t>
            </w:r>
          </w:p>
        </w:tc>
      </w:tr>
      <w:tr>
        <w:tc>
          <w:tcPr>
            <w:tcW w:type="dxa" w:w="3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Agent-computed status disagrees with the source file's existing Schedule Health / RAG column by more than one band</w:t>
            </w:r>
          </w:p>
        </w:tc>
        <w:tc>
          <w:tcPr>
            <w:tcW w:type="dxa" w:w="585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Do not auto-resolve — surface both values side-by-side for PM/human review</w:t>
            </w:r>
          </w:p>
        </w:tc>
      </w:tr>
    </w:tbl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No budget/cost column exists in the source project plans (task-level Excel exports contain schedule and completion data only). “Budget burn” is therefore excluded from the score rather than estimated; it is noted as a data gap in every report so leadership knows the status reflects schedule and delivery health, not financial health.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The existing “Schedule Health” / “RAG” columns already present in the source files are treated as one more input for comparison, not as ground truth — the agent computes its own independent status and flags disagreement rather than copying the existing label.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Stakeholder sentiment is derived only from text already captured in the Status Comment and Comments sheet fields; no external channels (email, Slack, calls) are read.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 task is only counted against schedule/progress signals if Not Applicable? is false and On Hold? is false, to avoid parked or excluded work being misread as stalled.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Weights (25/20/20/15/10/10) reflect Professional-Services delivery norms — schedule and progress dominate because they are the most objective and client-visible signals — and are intended to be configurable per project type, not fixed constants.</w:t>
      </w:r>
    </w:p>
    <w:sectPr>
      <w:pgSz w:w="12240" w:h="15840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2026-07-08T09:06:49.415Z</dcterms:created>
  <dcterms:modified xsi:type="dcterms:W3CDTF">2026-07-08T09:06:49.415Z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