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768"/>
        <w:gridCol w:w="3024"/>
      </w:tblGrid>
      <w:tr>
        <w:trPr>
          <w:trHeight w:val="1474"/>
        </w:trPr>
        <w:tc>
          <w:tcPr>
            <w:tcW w:type="dxa" w:w="6768"/>
            <w:shd w:val="clear" w:color="auto" w:fill="1E2761"/>
            <w:tcMar>
              <w:top w:w="200" w:type="dxa"/>
              <w:bottom w:w="200" w:type="dxa"/>
              <w:left w:w="220" w:type="dxa"/>
              <w:right w:w="22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CADCFC"/>
                <w:sz w:val="22"/>
              </w:rPr>
              <w:t>WEEKLY PROJECT HEALTH REPORT</w:t>
            </w:r>
          </w:p>
          <w:p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Zycus - UniSan S2P Implementation</w:t>
            </w:r>
          </w:p>
          <w:p>
            <w:r>
              <w:rPr>
                <w:rFonts w:ascii="Calibri" w:hAnsi="Calibri"/>
                <w:b w:val="0"/>
                <w:i w:val="0"/>
                <w:color w:val="CADCFC"/>
                <w:sz w:val="19"/>
              </w:rPr>
              <w:t>Week Ending 2026-07-10</w:t>
            </w:r>
          </w:p>
        </w:tc>
        <w:tc>
          <w:tcPr>
            <w:tcW w:type="dxa" w:w="3024"/>
            <w:shd w:val="clear" w:color="auto" w:fill="1E2761"/>
            <w:tcMar>
              <w:top w:w="200" w:type="dxa"/>
              <w:bottom w:w="200" w:type="dxa"/>
              <w:left w:w="220" w:type="dxa"/>
              <w:right w:w="2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CADCFC"/>
                <w:sz w:val="17"/>
              </w:rPr>
              <w:t>RAG STATUS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40"/>
              </w:rPr>
              <w:t>RED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CADCFC"/>
                <w:sz w:val="18"/>
              </w:rPr>
              <w:t>Composite Score: 50.0 / 100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rPr>
          <w:trHeight w:val="102"/>
        </w:trPr>
        <w:tc>
          <w:tcPr>
            <w:tcW w:type="dxa" w:w="9936"/>
            <w:shd w:val="clear" w:color="auto" w:fill="B02828"/>
          </w:tcPr>
          <w:p>
            <w:r/>
          </w:p>
        </w:tc>
      </w:tr>
    </w:tbl>
    <w:p>
      <w:pPr>
        <w:spacing w:after="40"/>
      </w:pPr>
    </w:p>
    <w:p/>
    <w:p>
      <w:pPr>
        <w:spacing w:before="320" w:after="120"/>
        <w:pBdr>
          <w:bottom w:val="single" w:sz="8" w:space="1" w:color="CADCFC"/>
        </w:pBdr>
      </w:pPr>
      <w:r>
        <w:rPr>
          <w:rFonts w:ascii="Calibri" w:hAnsi="Calibri"/>
          <w:b/>
          <w:i w:val="0"/>
          <w:color w:val="1E2761"/>
          <w:sz w:val="22"/>
        </w:rPr>
        <w:t>OVERRIDE RULES TRIGGERED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A1A1A"/>
          <w:sz w:val="21"/>
        </w:rPr>
        <w:t>Zero-float critical task slipping -&gt; forced RED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A1A1A"/>
          <w:sz w:val="21"/>
        </w:rPr>
        <w:t>Data completeness 67% &lt; 80% -&gt; capped at AMBER (low confidence)</w:t>
      </w:r>
    </w:p>
    <w:p>
      <w:pPr>
        <w:spacing w:before="320" w:after="120"/>
        <w:pBdr>
          <w:bottom w:val="single" w:sz="8" w:space="1" w:color="CADCFC"/>
        </w:pBdr>
      </w:pPr>
      <w:r>
        <w:rPr>
          <w:rFonts w:ascii="Calibri" w:hAnsi="Calibri"/>
          <w:b/>
          <w:i w:val="0"/>
          <w:color w:val="1E2761"/>
          <w:sz w:val="26"/>
        </w:rPr>
        <w:t>WHY THIS STATUS</w:t>
      </w:r>
    </w:p>
    <w:p>
      <w:r>
        <w:rPr>
          <w:rFonts w:ascii="Calibri" w:hAnsi="Calibri"/>
          <w:b w:val="0"/>
          <w:i w:val="0"/>
          <w:color w:val="1A1A1A"/>
          <w:sz w:val="21"/>
        </w:rPr>
        <w:t>This project is currently Red based on 3 key factor(s): Schedule Slippage: Worst task-level schedule variance is -2 day(s) on a zero-float (critical) task. Data Completeness: 67% of core fields populated. Recommend immediate escalation to the delivery lead and client-facing communication.</w:t>
      </w:r>
    </w:p>
    <w:p>
      <w:pPr>
        <w:spacing w:before="320" w:after="120"/>
        <w:pBdr>
          <w:bottom w:val="single" w:sz="8" w:space="1" w:color="CADCFC"/>
        </w:pBdr>
      </w:pPr>
      <w:r>
        <w:rPr>
          <w:rFonts w:ascii="Calibri" w:hAnsi="Calibri"/>
          <w:b/>
          <w:i w:val="0"/>
          <w:color w:val="1E2761"/>
          <w:sz w:val="26"/>
        </w:rPr>
        <w:t>TOP DRIVERS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1A1A1A"/>
          <w:sz w:val="21"/>
        </w:rPr>
        <w:t>Schedule Slippage:</w:t>
      </w:r>
      <w:r>
        <w:rPr>
          <w:rFonts w:ascii="Calibri" w:hAnsi="Calibri"/>
          <w:b w:val="0"/>
          <w:i w:val="0"/>
          <w:color w:val="1A1A1A"/>
          <w:sz w:val="21"/>
        </w:rPr>
        <w:t xml:space="preserve"> Worst task-level schedule variance is -2 day(s) on a zero-float (critical) task.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1A1A1A"/>
          <w:sz w:val="21"/>
        </w:rPr>
        <w:t>Data Completeness:</w:t>
      </w:r>
      <w:r>
        <w:rPr>
          <w:rFonts w:ascii="Calibri" w:hAnsi="Calibri"/>
          <w:b w:val="0"/>
          <w:i w:val="0"/>
          <w:color w:val="1A1A1A"/>
          <w:sz w:val="21"/>
        </w:rPr>
        <w:t xml:space="preserve"> 67% of core fields populated.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1A1A1A"/>
          <w:sz w:val="21"/>
        </w:rPr>
        <w:t>Progress Vs Plan:</w:t>
      </w:r>
      <w:r>
        <w:rPr>
          <w:rFonts w:ascii="Calibri" w:hAnsi="Calibri"/>
          <w:b w:val="0"/>
          <w:i w:val="0"/>
          <w:color w:val="1A1A1A"/>
          <w:sz w:val="21"/>
        </w:rPr>
        <w:t xml:space="preserve"> 44% complete vs 59% of planned duration elapsed (15 pt gap).</w:t>
      </w:r>
    </w:p>
    <w:p>
      <w:pPr>
        <w:spacing w:before="320" w:after="120"/>
        <w:pBdr>
          <w:bottom w:val="single" w:sz="8" w:space="1" w:color="CADCFC"/>
        </w:pBdr>
      </w:pPr>
      <w:r>
        <w:rPr>
          <w:rFonts w:ascii="Calibri" w:hAnsi="Calibri"/>
          <w:b/>
          <w:i w:val="0"/>
          <w:color w:val="1E2761"/>
          <w:sz w:val="26"/>
        </w:rPr>
        <w:t>SIGNAL BREAKDOWN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736"/>
        <w:gridCol w:w="1296"/>
        <w:gridCol w:w="5760"/>
      </w:tblGrid>
      <w:tr>
        <w:tc>
          <w:tcPr>
            <w:tcW w:type="dxa" w:w="2736"/>
            <w:shd w:val="clear" w:color="auto" w:fill="1E2761"/>
            <w:tcBorders>
              <w:top w:val="single" w:sz="4" w:space="0" w:color="E1E5F0"/>
              <w:left w:val="single" w:sz="4" w:space="0" w:color="E1E5F0"/>
              <w:bottom w:val="single" w:sz="4" w:space="0" w:color="E1E5F0"/>
              <w:right w:val="single" w:sz="4" w:space="0" w:color="E1E5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Signal</w:t>
            </w:r>
          </w:p>
        </w:tc>
        <w:tc>
          <w:tcPr>
            <w:tcW w:type="dxa" w:w="1296"/>
            <w:shd w:val="clear" w:color="auto" w:fill="1E2761"/>
            <w:tcBorders>
              <w:top w:val="single" w:sz="4" w:space="0" w:color="E1E5F0"/>
              <w:left w:val="single" w:sz="4" w:space="0" w:color="E1E5F0"/>
              <w:bottom w:val="single" w:sz="4" w:space="0" w:color="E1E5F0"/>
              <w:right w:val="single" w:sz="4" w:space="0" w:color="E1E5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Score</w:t>
            </w:r>
          </w:p>
        </w:tc>
        <w:tc>
          <w:tcPr>
            <w:tcW w:type="dxa" w:w="5760"/>
            <w:shd w:val="clear" w:color="auto" w:fill="1E2761"/>
            <w:tcBorders>
              <w:top w:val="single" w:sz="4" w:space="0" w:color="E1E5F0"/>
              <w:left w:val="single" w:sz="4" w:space="0" w:color="E1E5F0"/>
              <w:bottom w:val="single" w:sz="4" w:space="0" w:color="E1E5F0"/>
              <w:right w:val="single" w:sz="4" w:space="0" w:color="E1E5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736"/>
            <w:shd w:val="clear" w:color="auto" w:fill="F3F5FB"/>
            <w:tcBorders>
              <w:top w:val="single" w:sz="4" w:space="0" w:color="E1E5F0"/>
              <w:left w:val="single" w:sz="4" w:space="0" w:color="E1E5F0"/>
              <w:bottom w:val="single" w:sz="4" w:space="0" w:color="E1E5F0"/>
              <w:right w:val="single" w:sz="4" w:space="0" w:color="E1E5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Schedule Slippage</w:t>
            </w:r>
          </w:p>
        </w:tc>
        <w:tc>
          <w:tcPr>
            <w:tcW w:type="dxa" w:w="1296"/>
            <w:shd w:val="clear" w:color="auto" w:fill="F3F5FB"/>
            <w:tcBorders>
              <w:top w:val="single" w:sz="4" w:space="0" w:color="E1E5F0"/>
              <w:left w:val="single" w:sz="4" w:space="0" w:color="E1E5F0"/>
              <w:bottom w:val="single" w:sz="4" w:space="0" w:color="E1E5F0"/>
              <w:right w:val="single" w:sz="4" w:space="0" w:color="E1E5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B02828"/>
                <w:sz w:val="19"/>
              </w:rPr>
              <w:t>2</w:t>
            </w:r>
          </w:p>
        </w:tc>
        <w:tc>
          <w:tcPr>
            <w:tcW w:type="dxa" w:w="5760"/>
            <w:shd w:val="clear" w:color="auto" w:fill="F3F5FB"/>
            <w:tcBorders>
              <w:top w:val="single" w:sz="4" w:space="0" w:color="E1E5F0"/>
              <w:left w:val="single" w:sz="4" w:space="0" w:color="E1E5F0"/>
              <w:bottom w:val="single" w:sz="4" w:space="0" w:color="E1E5F0"/>
              <w:right w:val="single" w:sz="4" w:space="0" w:color="E1E5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Worst task-level schedule variance is -2 day(s) on a zero-float (critical) task.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space="0" w:color="E1E5F0"/>
              <w:left w:val="single" w:sz="4" w:space="0" w:color="E1E5F0"/>
              <w:bottom w:val="single" w:sz="4" w:space="0" w:color="E1E5F0"/>
              <w:right w:val="single" w:sz="4" w:space="0" w:color="E1E5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Progress Vs Plan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E1E5F0"/>
              <w:left w:val="single" w:sz="4" w:space="0" w:color="E1E5F0"/>
              <w:bottom w:val="single" w:sz="4" w:space="0" w:color="E1E5F0"/>
              <w:right w:val="single" w:sz="4" w:space="0" w:color="E1E5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C27C0E"/>
                <w:sz w:val="19"/>
              </w:rPr>
              <w:t>1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E1E5F0"/>
              <w:left w:val="single" w:sz="4" w:space="0" w:color="E1E5F0"/>
              <w:bottom w:val="single" w:sz="4" w:space="0" w:color="E1E5F0"/>
              <w:right w:val="single" w:sz="4" w:space="0" w:color="E1E5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44% complete vs 59% of planned duration elapsed (15 pt gap).</w:t>
            </w:r>
          </w:p>
        </w:tc>
      </w:tr>
      <w:tr>
        <w:tc>
          <w:tcPr>
            <w:tcW w:type="dxa" w:w="2736"/>
            <w:shd w:val="clear" w:color="auto" w:fill="F3F5FB"/>
            <w:tcBorders>
              <w:top w:val="single" w:sz="4" w:space="0" w:color="E1E5F0"/>
              <w:left w:val="single" w:sz="4" w:space="0" w:color="E1E5F0"/>
              <w:bottom w:val="single" w:sz="4" w:space="0" w:color="E1E5F0"/>
              <w:right w:val="single" w:sz="4" w:space="0" w:color="E1E5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Blockers</w:t>
            </w:r>
          </w:p>
        </w:tc>
        <w:tc>
          <w:tcPr>
            <w:tcW w:type="dxa" w:w="1296"/>
            <w:shd w:val="clear" w:color="auto" w:fill="F3F5FB"/>
            <w:tcBorders>
              <w:top w:val="single" w:sz="4" w:space="0" w:color="E1E5F0"/>
              <w:left w:val="single" w:sz="4" w:space="0" w:color="E1E5F0"/>
              <w:bottom w:val="single" w:sz="4" w:space="0" w:color="E1E5F0"/>
              <w:right w:val="single" w:sz="4" w:space="0" w:color="E1E5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E7D32"/>
                <w:sz w:val="19"/>
              </w:rPr>
              <w:t>0</w:t>
            </w:r>
          </w:p>
        </w:tc>
        <w:tc>
          <w:tcPr>
            <w:tcW w:type="dxa" w:w="5760"/>
            <w:shd w:val="clear" w:color="auto" w:fill="F3F5FB"/>
            <w:tcBorders>
              <w:top w:val="single" w:sz="4" w:space="0" w:color="E1E5F0"/>
              <w:left w:val="single" w:sz="4" w:space="0" w:color="E1E5F0"/>
              <w:bottom w:val="single" w:sz="4" w:space="0" w:color="E1E5F0"/>
              <w:right w:val="single" w:sz="4" w:space="0" w:color="E1E5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 open blocker/friction reference(s) found in comments.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space="0" w:color="E1E5F0"/>
              <w:left w:val="single" w:sz="4" w:space="0" w:color="E1E5F0"/>
              <w:bottom w:val="single" w:sz="4" w:space="0" w:color="E1E5F0"/>
              <w:right w:val="single" w:sz="4" w:space="0" w:color="E1E5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Stakeholder Sentiment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E1E5F0"/>
              <w:left w:val="single" w:sz="4" w:space="0" w:color="E1E5F0"/>
              <w:bottom w:val="single" w:sz="4" w:space="0" w:color="E1E5F0"/>
              <w:right w:val="single" w:sz="4" w:space="0" w:color="E1E5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E7D32"/>
                <w:sz w:val="19"/>
              </w:rPr>
              <w:t>0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E1E5F0"/>
              <w:left w:val="single" w:sz="4" w:space="0" w:color="E1E5F0"/>
              <w:bottom w:val="single" w:sz="4" w:space="0" w:color="E1E5F0"/>
              <w:right w:val="single" w:sz="4" w:space="0" w:color="E1E5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No stakeholder comments available; assuming neutral.</w:t>
            </w:r>
          </w:p>
        </w:tc>
      </w:tr>
      <w:tr>
        <w:tc>
          <w:tcPr>
            <w:tcW w:type="dxa" w:w="2736"/>
            <w:shd w:val="clear" w:color="auto" w:fill="F3F5FB"/>
            <w:tcBorders>
              <w:top w:val="single" w:sz="4" w:space="0" w:color="E1E5F0"/>
              <w:left w:val="single" w:sz="4" w:space="0" w:color="E1E5F0"/>
              <w:bottom w:val="single" w:sz="4" w:space="0" w:color="E1E5F0"/>
              <w:right w:val="single" w:sz="4" w:space="0" w:color="E1E5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Critical Path Exposure</w:t>
            </w:r>
          </w:p>
        </w:tc>
        <w:tc>
          <w:tcPr>
            <w:tcW w:type="dxa" w:w="1296"/>
            <w:shd w:val="clear" w:color="auto" w:fill="F3F5FB"/>
            <w:tcBorders>
              <w:top w:val="single" w:sz="4" w:space="0" w:color="E1E5F0"/>
              <w:left w:val="single" w:sz="4" w:space="0" w:color="E1E5F0"/>
              <w:bottom w:val="single" w:sz="4" w:space="0" w:color="E1E5F0"/>
              <w:right w:val="single" w:sz="4" w:space="0" w:color="E1E5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C27C0E"/>
                <w:sz w:val="19"/>
              </w:rPr>
              <w:t>1</w:t>
            </w:r>
          </w:p>
        </w:tc>
        <w:tc>
          <w:tcPr>
            <w:tcW w:type="dxa" w:w="5760"/>
            <w:shd w:val="clear" w:color="auto" w:fill="F3F5FB"/>
            <w:tcBorders>
              <w:top w:val="single" w:sz="4" w:space="0" w:color="E1E5F0"/>
              <w:left w:val="single" w:sz="4" w:space="0" w:color="E1E5F0"/>
              <w:bottom w:val="single" w:sz="4" w:space="0" w:color="E1E5F0"/>
              <w:right w:val="single" w:sz="4" w:space="0" w:color="E1E5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1 critical-path task(s) currently slipping.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space="0" w:color="E1E5F0"/>
              <w:left w:val="single" w:sz="4" w:space="0" w:color="E1E5F0"/>
              <w:bottom w:val="single" w:sz="4" w:space="0" w:color="E1E5F0"/>
              <w:right w:val="single" w:sz="4" w:space="0" w:color="E1E5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Data Completeness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E1E5F0"/>
              <w:left w:val="single" w:sz="4" w:space="0" w:color="E1E5F0"/>
              <w:bottom w:val="single" w:sz="4" w:space="0" w:color="E1E5F0"/>
              <w:right w:val="single" w:sz="4" w:space="0" w:color="E1E5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B02828"/>
                <w:sz w:val="19"/>
              </w:rPr>
              <w:t>2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E1E5F0"/>
              <w:left w:val="single" w:sz="4" w:space="0" w:color="E1E5F0"/>
              <w:bottom w:val="single" w:sz="4" w:space="0" w:color="E1E5F0"/>
              <w:right w:val="single" w:sz="4" w:space="0" w:color="E1E5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67% of core fields populated.</w:t>
            </w:r>
          </w:p>
        </w:tc>
      </w:tr>
    </w:tbl>
    <w:p>
      <w:pPr>
        <w:spacing w:before="80"/>
      </w:pPr>
      <w:r>
        <w:rPr>
          <w:rFonts w:ascii="Calibri" w:hAnsi="Calibri"/>
          <w:b w:val="0"/>
          <w:i/>
          <w:color w:val="6B6F7A"/>
          <w:sz w:val="16"/>
        </w:rPr>
        <w:t>Score: 0 = healthy   ·   1 = at risk   ·   2 = critical</w:t>
      </w:r>
    </w:p>
    <w:p>
      <w:pPr>
        <w:spacing w:before="320" w:after="120"/>
        <w:pBdr>
          <w:bottom w:val="single" w:sz="8" w:space="1" w:color="CADCFC"/>
        </w:pBdr>
      </w:pPr>
      <w:r>
        <w:rPr>
          <w:rFonts w:ascii="Calibri" w:hAnsi="Calibri"/>
          <w:b/>
          <w:i w:val="0"/>
          <w:color w:val="1E2761"/>
          <w:sz w:val="26"/>
        </w:rPr>
        <w:t>RECOMMENDED ACTIONS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A1A1A"/>
          <w:sz w:val="21"/>
        </w:rPr>
        <w:t>Escalate to delivery leadership immediately.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A1A1A"/>
          <w:sz w:val="21"/>
        </w:rPr>
        <w:t>Convene a recovery-plan session with the client.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A1A1A"/>
          <w:sz w:val="21"/>
        </w:rPr>
        <w:t>Re-sequence or add resources to the blocking critical-path task(s).</w:t>
      </w:r>
    </w:p>
    <w:p>
      <w:pPr>
        <w:spacing w:before="320" w:after="120"/>
        <w:pBdr>
          <w:bottom w:val="single" w:sz="8" w:space="1" w:color="CADCFC"/>
        </w:pBdr>
      </w:pPr>
      <w:r>
        <w:rPr>
          <w:rFonts w:ascii="Calibri" w:hAnsi="Calibri"/>
          <w:b/>
          <w:i w:val="0"/>
          <w:color w:val="1E2761"/>
          <w:sz w:val="26"/>
        </w:rPr>
        <w:t>STAKEHOLDER SENTIMENT</w:t>
      </w:r>
    </w:p>
    <w:p>
      <w:r>
        <w:rPr>
          <w:rFonts w:ascii="Calibri" w:hAnsi="Calibri"/>
          <w:b/>
          <w:i w:val="0"/>
          <w:color w:val="1A1A1A"/>
          <w:sz w:val="21"/>
        </w:rPr>
        <w:t xml:space="preserve">Score: 0 (0 = neutral/positive, 2 = escalation) — </w:t>
      </w:r>
      <w:r>
        <w:rPr>
          <w:rFonts w:ascii="Calibri" w:hAnsi="Calibri"/>
          <w:b w:val="0"/>
          <w:i w:val="0"/>
          <w:color w:val="1A1A1A"/>
          <w:sz w:val="21"/>
        </w:rPr>
        <w:t>Derived from keyword-based fallback scan (no LLM provider configured).</w:t>
      </w:r>
    </w:p>
    <w:p>
      <w:pPr>
        <w:spacing w:after="40"/>
      </w:pPr>
    </w:p>
    <w:p>
      <w:pPr>
        <w:spacing w:before="200"/>
        <w:pBdr>
          <w:bottom w:val="single" w:sz="6" w:space="1" w:color="E1E5F0"/>
        </w:pBdr>
      </w:pPr>
      <w:r>
        <w:rPr>
          <w:rFonts w:ascii="Calibri" w:hAnsi="Calibri"/>
          <w:b w:val="0"/>
          <w:i/>
          <w:color w:val="6B6F7A"/>
          <w:sz w:val="16"/>
        </w:rPr>
        <w:t>Data completeness: 67%.  Generated by: fallback_template (reason: No LLM_PROVIDER/API key configured (see .env.example).)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b w:val="0"/>
        <w:i w:val="0"/>
        <w:color w:val="6B6F7A"/>
        <w:sz w:val="16"/>
      </w:rPr>
      <w:t xml:space="preserve">Delivery PMO — Confidential  |  Page </w:t>
    </w:r>
    <w:r>
      <w:fldChar w:fldCharType="begin"/>
      <w:instrText xml:space="preserve">PAGE</w:instrText>
      <w:fldChar w:fldCharType="end"/>
    </w:r>
    <w:r>
      <w:rPr>
        <w:rFonts w:ascii="Calibri" w:hAnsi="Calibri"/>
        <w:b w:val="0"/>
        <w:i w:val="0"/>
        <w:color w:val="6B6F7A"/>
        <w:sz w:val="16"/>
      </w:rPr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/>
        <w:b w:val="0"/>
        <w:i w:val="0"/>
        <w:color w:val="6B6F7A"/>
        <w:sz w:val="17"/>
      </w:rPr>
      <w:t>Project Health Report  |  Zycus - UniSan S2P Implementation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