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rFonts w:ascii="Aptos" w:hAnsi="Aptos"/>
          <w:b/>
          <w:sz w:val="21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rFonts w:ascii="Aptos" w:hAnsi="Aptos"/>
          <w:b/>
          <w:sz w:val="21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>
            <w:tcW w:w="4508" w:type="dxa"/>
          </w:tcPr>
          <w:p>
            <w:r>
              <w:rPr>
                <w:rFonts w:ascii="Aptos" w:hAnsi="Aptos"/>
                <w:sz w:val="18"/>
              </w:rPr>
              <w:t>27 September 2026</w:t>
            </w:r>
          </w:p>
        </w:tc>
      </w:tr>
      <w:tr w:rsidR="00E370AF" w14:paraId="189E08C9" w14:textId="77777777">
        <w:tc>
          <w:tcPr>
            <w:tcW w:w="4508" w:type="dxa"/>
          </w:tcPr>
          <w:p>
            <w:r>
              <w:rPr>
                <w:rFonts w:ascii="Aptos" w:hAnsi="Aptos"/>
                <w:sz w:val="18"/>
              </w:rPr>
              <w:t>Team ID</w:t>
            </w:r>
          </w:p>
        </w:tc>
        <w:tc>
          <w:tcPr>
            <w:tcW w:w="4508" w:type="dxa"/>
          </w:tcPr>
          <w:p>
            <w:r>
              <w:t>6ab22d8fabc543762b226344</w:t>
            </w:r>
          </w:p>
        </w:tc>
      </w:tr>
      <w:tr w:rsidR="00E370AF" w14:paraId="7247E3F4" w14:textId="77777777">
        <w:tc>
          <w:tcPr>
            <w:tcW w:w="4508" w:type="dxa"/>
          </w:tcPr>
          <w:p>
            <w:r>
              <w:rPr>
                <w:rFonts w:ascii="Aptos" w:hAnsi="Aptos"/>
                <w:sz w:val="18"/>
              </w:rPr>
              <w:t>Project Name</w:t>
            </w:r>
          </w:p>
        </w:tc>
        <w:tc>
          <w:tcPr>
            <w:tcW w:w="4508" w:type="dxa"/>
          </w:tcPr>
          <w:p>
            <w:r>
              <w:rPr>
                <w:rFonts w:ascii="Aptos" w:hAnsi="Aptos"/>
                <w:sz w:val="18"/>
              </w:rPr>
              <w:t>AI WeatherWise – Intelligent Weather Forecasts and Insights</w:t>
            </w:r>
          </w:p>
        </w:tc>
      </w:tr>
      <w:tr w:rsidR="00E370AF" w14:paraId="6D6CFC5F" w14:textId="77777777">
        <w:tc>
          <w:tcPr>
            <w:tcW w:w="4508" w:type="dxa"/>
          </w:tcPr>
          <w:p>
            <w:r>
              <w:rPr>
                <w:rFonts w:ascii="Aptos" w:hAnsi="Aptos"/>
                <w:sz w:val="18"/>
              </w:rPr>
              <w:t>Maximum Marks</w:t>
            </w:r>
          </w:p>
        </w:tc>
        <w:tc>
          <w:tcPr>
            <w:tcW w:w="4508" w:type="dxa"/>
          </w:tcPr>
          <w:p>
            <w:r>
              <w:rPr>
                <w:rFonts w:ascii="Aptos" w:hAnsi="Aptos"/>
                <w:sz w:val="18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ptos" w:eastAsia="Arial" w:hAnsi="Aptos" w:cs="Arial"/>
          <w:b/>
          <w:color w:val="000000"/>
          <w:sz w:val="21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ptos" w:eastAsia="Arial" w:hAnsi="Aptos" w:cs="Arial"/>
          <w:color w:val="000000"/>
          <w:sz w:val="21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ptos" w:eastAsia="Arial" w:hAnsi="Aptos" w:cs="Arial"/>
          <w:color w:val="000000"/>
          <w:sz w:val="21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ptos" w:eastAsia="Arial" w:hAnsi="Aptos" w:cs="Arial"/>
          <w:color w:val="000000"/>
          <w:sz w:val="21"/>
          <w:szCs w:val="24"/>
        </w:rPr>
        <w:t xml:space="preserve">Describe the structure, characteristics, </w:t>
      </w:r>
      <w:proofErr w:type="spellStart"/>
      <w:r>
        <w:rPr>
          <w:rFonts w:ascii="Aptos" w:eastAsia="Arial" w:hAnsi="Aptos" w:cs="Arial"/>
          <w:color w:val="000000"/>
          <w:sz w:val="21"/>
          <w:szCs w:val="24"/>
        </w:rPr>
        <w:t>behavior</w:t>
      </w:r>
      <w:proofErr w:type="spellEnd"/>
      <w:r>
        <w:rPr>
          <w:rFonts w:ascii="Aptos" w:eastAsia="Arial" w:hAnsi="Aptos" w:cs="Arial"/>
          <w:color w:val="000000"/>
          <w:sz w:val="21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ptos" w:eastAsia="Arial" w:hAnsi="Aptos" w:cs="Arial"/>
          <w:color w:val="000000"/>
          <w:sz w:val="21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ptos" w:eastAsia="Arial" w:hAnsi="Aptos" w:cs="Arial"/>
          <w:color w:val="000000"/>
          <w:sz w:val="21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ptos" w:eastAsia="Arial" w:hAnsi="Aptos" w:cs="Arial"/>
          <w:b/>
          <w:color w:val="000000"/>
          <w:sz w:val="21"/>
          <w:szCs w:val="24"/>
        </w:rPr>
        <w:t>Example - Solution Architecture Diagram</w:t>
      </w:r>
      <w:r>
        <w:rPr>
          <w:rFonts w:ascii="Aptos" w:hAnsi="Aptos"/>
          <w:b/>
          <w:sz w:val="21"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rFonts w:ascii="Aptos" w:hAnsi="Aptos"/>
          <w:noProof/>
          <w:sz w:val="21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Aptos" w:eastAsia="Helvetica Neue" w:hAnsi="Aptos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rFonts w:ascii="Aptos" w:hAnsi="Aptos"/>
          <w:b/>
          <w:sz w:val="21"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rPr>
          <w:rFonts w:ascii="Aptos" w:hAnsi="Aptos"/>
          <w:b/>
          <w:sz w:val="21"/>
        </w:rPr>
        <w:t>AI WeatherWise – Solution Architecture</w:t>
      </w:r>
    </w:p>
    <w:p>
      <w:r>
        <w:rPr>
          <w:rFonts w:ascii="Aptos" w:hAnsi="Aptos"/>
          <w:sz w:val="21"/>
        </w:rPr>
        <w:t>The implemented architecture follows a modular Node.js/Express REST backend with routes, controllers, services, models, middleware and configuration separated into different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Layer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Components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Responsibility</w:t>
            </w:r>
          </w:p>
        </w:tc>
      </w:tr>
      <w:tr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Client / Interface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Postman / Thunder Client / REST client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Sends HTTP requests and receives JSON responses from the REST API.</w:t>
            </w:r>
          </w:p>
        </w:tc>
      </w:tr>
      <w:tr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Gateway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Express.js application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Parses JSON, enables CORS, registers API routes and provides the base API response.</w:t>
            </w:r>
          </w:p>
        </w:tc>
      </w:tr>
      <w:tr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Security Middleware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JWT auth middleware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Reads the Bearer token, verifies it, loads the user without the password field and protects private routes.</w:t>
            </w:r>
          </w:p>
        </w:tc>
      </w:tr>
      <w:tr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Controllers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authController, locationController, weatherController, aiController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Validate request data, call the required service/model and send the HTTP response.</w:t>
            </w:r>
          </w:p>
        </w:tc>
      </w:tr>
      <w:tr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Services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weatherService, aiService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Handle OpenWeatherMap and Gemini integration and provide local fallback responses.</w:t>
            </w:r>
          </w:p>
        </w:tc>
      </w:tr>
      <w:tr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Data Layer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MongoDB + Mongoose User and Location models</w:t>
            </w:r>
          </w:p>
        </w:tc>
        <w:tc>
          <w:tcPr>
            <w:tcW w:type="dxa" w:w="3009"/>
          </w:tcPr>
          <w:p>
            <w:r>
              <w:rPr>
                <w:rFonts w:ascii="Aptos" w:hAnsi="Aptos"/>
                <w:sz w:val="18"/>
              </w:rPr>
              <w:t>Stores user accounts and favorite locations with validation, timestamps and ownership references.</w:t>
            </w:r>
          </w:p>
        </w:tc>
      </w:tr>
    </w:tbl>
    <w:p>
      <w:r>
        <w:rPr>
          <w:rFonts w:ascii="Aptos" w:hAnsi="Aptos"/>
          <w:sz w:val="21"/>
        </w:rPr>
        <w:t>Logical data flow:</w:t>
      </w:r>
    </w:p>
    <w:p>
      <w:r>
        <w:rPr>
          <w:rFonts w:ascii="Aptos" w:hAnsi="Aptos"/>
          <w:sz w:val="21"/>
        </w:rPr>
        <w:t>Client → Express Gateway → Middleware → Controller/Service → MongoDB and/or OpenWeatherMap → Gemini (for AI insight requests) → JSON Response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