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AppleSupport AI Support Agent</w:t>
      </w:r>
    </w:p>
    <w:p>
      <w:pPr>
        <w:jc w:val="center"/>
      </w:pPr>
      <w:r>
        <w:rPr>
          <w:b/>
          <w:color w:val="505050"/>
          <w:sz w:val="20"/>
        </w:rPr>
        <w:t>Triage-Bot Evaluation Report  |  Hiver SDE Intern Take-Home</w:t>
      </w:r>
    </w:p>
    <w:p>
      <w:pPr>
        <w:spacing w:after="60"/>
      </w:pPr>
      <w:r>
        <w:t>A reproducible support-triage prototype that classifies customer messages, drafts historically grounded replies, and routes risky cases to humans.</w:t>
      </w:r>
    </w:p>
    <w:p>
      <w:pPr>
        <w:pStyle w:val="Heading1"/>
      </w:pPr>
      <w:r>
        <w:t>Executive summary</w:t>
      </w:r>
    </w:p>
    <w:p>
      <w:pPr>
        <w:spacing w:after="60"/>
      </w:pPr>
      <w:r>
        <w:t>Triage-Bot targets AppleSupport conversations from the Customer Support on Twitter dataset. ?Good? means the system chooses a useful intent, grounds its reply in a similar historical resolution, and avoids unsafe automation by escalating uncertain or high-risk cases with a reason. The checked-in evaluation uses a deterministic offline provider so the headline numbers can be reproduced without an API key or rate-limit dependency.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176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System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Accuracy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Macro-F1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Majority-class baseline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31.6%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6.0%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Keyword-rule baseline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62.2%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55.3%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Triage-Bot offline pipeline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65.8%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60.4%</w:t>
            </w:r>
          </w:p>
        </w:tc>
      </w:tr>
    </w:tbl>
    <w:p>
      <w:pPr>
        <w:spacing w:after="0"/>
      </w:pPr>
    </w:p>
    <w:p>
      <w:pPr>
        <w:pStyle w:val="Heading1"/>
      </w:pPr>
      <w:r>
        <w:t>1. Problem framing and scope</w:t>
      </w:r>
    </w:p>
    <w:p>
      <w:pPr>
        <w:spacing w:after="60"/>
      </w:pPr>
      <w:r>
        <w:t>The system handles a narrow, auditable slice of public AppleSupport Twitter traffic. It does not access private account or order records, process payments, promise refunds, or attempt full multi-turn case management. Those exclusions are intentional: public tweets are suitable for intake and precedent retrieval, but not for account-specific resolution.</w:t>
      </w:r>
    </w:p>
    <w:p>
      <w:pPr>
        <w:spacing w:after="60"/>
      </w:pPr>
      <w:r>
        <w:t>The brand-specific intent taxonomy is: account_access, billing_dispute, delivery_order_issue, product_bug_report, how_to_question, general_complaint, praise_or_thanks, and other.</w:t>
      </w:r>
    </w:p>
    <w:p>
      <w:pPr>
        <w:pStyle w:val="Heading1"/>
      </w:pPr>
      <w:r>
        <w:t>2. System and data</w:t>
      </w:r>
    </w:p>
    <w:p>
      <w:pPr>
        <w:spacing w:after="60"/>
      </w:pPr>
      <w:r>
        <w:t>The loader streams the Kaggle CSV in chunks, filters to AppleSupport, and reconstructs direct customer-to-brand reply pairs. A TF-IDF retriever returns up to three similar precedents. Classification, drafting, and escalation communicate through structured JSON, making every pipeline result inspectable.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Stage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Implementation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7365D"/>
                <w:sz w:val="17"/>
              </w:rPr>
              <w:t>Safety/quality purpose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Classify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Fixed eight-intent taxonomy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Consistent labels and confidence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Ground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TF-IDF cosine retrieval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historical brand resolutions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Reply from retrieved examples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Avoid unsupported promises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Escalate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Rules plus model judgment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Human review for risk/uncertainty</w:t>
            </w:r>
          </w:p>
        </w:tc>
      </w:tr>
    </w:tbl>
    <w:p>
      <w:pPr>
        <w:spacing w:after="0"/>
      </w:pPr>
    </w:p>
    <w:p>
      <w:pPr>
        <w:pStyle w:val="Heading1"/>
      </w:pPr>
      <w:r>
        <w:t>3. Evaluation results</w:t>
      </w:r>
    </w:p>
    <w:p>
      <w:pPr>
        <w:spacing w:after="60"/>
      </w:pPr>
      <w:r>
        <w:t>The checked-in golden set contains 196 hand-labeled examples sampled with a fixed seed after proxy-intent stratification. The pipeline beats both baselines on accuracy and macro-F1. Escalation agreement against hand labels was 67.9% accuracy, 35.7% precision, and 76.9% recall. High recall is preferred here because missing a risky case is more costly than over-escalating.</w:t>
      </w:r>
    </w:p>
    <w:p>
      <w:pPr>
        <w:spacing w:after="60"/>
      </w:pPr>
      <w:r>
        <w:t>Reply quality was scored on relevance, groundedness, tone, and actionability. The offline judge mean was 4.0/5 on each dimension. On 25 human-scored calibration examples, exact judge-human agreement was 32%, agreement within one point was 84%, and mean absolute error was 0.88. The exact-match result is a warning that the automated judge is not a replacement for human review.</w:t>
      </w:r>
    </w:p>
    <w:p>
      <w:pPr>
        <w:pStyle w:val="Heading1"/>
      </w:pPr>
      <w:r>
        <w:t>4. Failure analysis</w:t>
      </w:r>
    </w:p>
    <w:p>
      <w:pPr>
        <w:pStyle w:val="ListBullet"/>
        <w:spacing w:after="20"/>
      </w:pPr>
      <w:r>
        <w:t>Overlapping intents: battery, Wi-Fi, and update complaints can be access/configuration issues or product bugs. A hierarchical or multi-label taxonomy may reduce forced errors.</w:t>
      </w:r>
    </w:p>
    <w:p>
      <w:pPr>
        <w:pStyle w:val="ListBullet"/>
        <w:spacing w:after="20"/>
      </w:pPr>
      <w:r>
        <w:t>Very short tweets: ?help?, screenshots, and pronouns provide too little evidence. Full thread context and automatic escalation would be safer.</w:t>
      </w:r>
    </w:p>
    <w:p>
      <w:pPr>
        <w:pStyle w:val="ListBullet"/>
        <w:spacing w:after="20"/>
      </w:pPr>
      <w:r>
        <w:t>Paraphrase retrieval misses: TF-IDF favors shared words and can retrieve the wrong precedent for semantically similar wording. Compare sentence embeddings on a held-out set.</w:t>
      </w:r>
    </w:p>
    <w:p>
      <w:pPr>
        <w:pStyle w:val="ListBullet"/>
        <w:spacing w:after="20"/>
      </w:pPr>
      <w:r>
        <w:t>Generic historical replies: some precedents only say ?DM us? and do not demonstrate a complete resolution. Filter or score resolution completeness.</w:t>
      </w:r>
    </w:p>
    <w:p>
      <w:pPr>
        <w:pStyle w:val="ListBullet"/>
        <w:spacing w:after="20"/>
      </w:pPr>
      <w:r>
        <w:t>Public-data limits: billing and order cases need private identifiers. Use redacted internal outcomes as grounding and keep tweets as intake only.</w:t>
      </w:r>
    </w:p>
    <w:p>
      <w:pPr>
        <w:pStyle w:val="Heading1"/>
      </w:pPr>
      <w:r>
        <w:t>5. What is misleading about the headline number?</w:t>
      </w:r>
    </w:p>
    <w:p>
      <w:pPr>
        <w:spacing w:after="60"/>
      </w:pPr>
      <w:r>
        <w:t>The 65.8% classification score is not production accuracy. The golden set is small, stratified, and from the same brand corpus used for retrieval. The offline provider is a transparent heuristic path, while a hosted LLM has different cost, latency, and failure modes. Labels are single-intent even when a tweet is multi-intent. Finally, judge calibration is based on only 25 human-scored examples and should not be generalized beyond that sample.</w:t>
      </w:r>
    </w:p>
    <w:p>
      <w:pPr>
        <w:pStyle w:val="Heading1"/>
      </w:pPr>
      <w:r>
        <w:t>6. What I would do with one more week</w:t>
      </w:r>
    </w:p>
    <w:p>
      <w:pPr>
        <w:pStyle w:val="ListBullet"/>
        <w:spacing w:after="20"/>
      </w:pPr>
      <w:r>
        <w:t>Reconstruct full threads with attribution tests and add a time-split held-out evaluation.</w:t>
      </w:r>
    </w:p>
    <w:p>
      <w:pPr>
        <w:pStyle w:val="ListBullet"/>
        <w:spacing w:after="20"/>
      </w:pPr>
      <w:r>
        <w:t>Compare TF-IDF with a local sentence encoder and measure retrieval recall.</w:t>
      </w:r>
    </w:p>
    <w:p>
      <w:pPr>
        <w:pStyle w:val="ListBullet"/>
        <w:spacing w:after="20"/>
      </w:pPr>
      <w:r>
        <w:t>Collect at least 30 independently scored judge examples and report inter-rater agreement.</w:t>
      </w:r>
    </w:p>
    <w:p>
      <w:pPr>
        <w:pStyle w:val="ListBullet"/>
        <w:spacing w:after="20"/>
      </w:pPr>
      <w:r>
        <w:t>Add privacy-safe order/account tools behind mandatory human approval.</w:t>
      </w:r>
    </w:p>
    <w:p>
      <w:pPr>
        <w:pStyle w:val="ListBullet"/>
        <w:spacing w:after="20"/>
      </w:pPr>
      <w:r>
        <w:t>Log latency, token usage, escalation reasons, and abstention rates.</w:t>
      </w:r>
    </w:p>
    <w:p>
      <w:pPr>
        <w:pStyle w:val="Heading1"/>
      </w:pPr>
      <w:r>
        <w:t>Reproduction</w:t>
      </w:r>
    </w:p>
    <w:p>
      <w:pPr>
        <w:spacing w:after="60"/>
      </w:pPr>
      <w:r>
        <w:t>From the repository root, install requirements and run the offline harness. The command below reproduces the classification and escalation results without a hosted API:</w:t>
      </w:r>
    </w:p>
    <w:p>
      <w:pPr>
        <w:spacing w:after="60"/>
        <w:ind w:left="360"/>
      </w:pPr>
      <w:r>
        <w:rPr>
          <w:rFonts w:ascii="Consolas" w:hAnsi="Consolas"/>
          <w:sz w:val="16"/>
        </w:rPr>
        <w:t>$env:LLM_PROVIDER="offline"</w:t>
        <w:br/>
        <w:t>python eval\eval_harness.py --golden data\golden_set.csv --skip-judge --output eval\eval_results_reproduced.csv</w:t>
      </w:r>
    </w:p>
    <w:p>
      <w:pPr>
        <w:spacing w:after="60"/>
      </w:pPr>
      <w:r>
        <w:t>Supporting artifacts: data/golden_set.csv, eval/eval_harness.py, eval/eval_results_calibrated.csv, eval/rubric.md, DECISION_LOG.md, and README.md.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AppleSupport AI Support Agent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6"/>
      </w:rPr>
      <w:t>HIVER SDE TAKE-HOME  |  TRIAGE-BOT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