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00000"/>
          <w:sz w:val="36"/>
        </w:rPr>
        <w:t>Autonomous Support Triage Agent: Evaluation &amp; System Report</w:t>
      </w:r>
    </w:p>
    <w:p>
      <w:pPr>
        <w:spacing w:before="0" w:after="320"/>
        <w:jc w:val="center"/>
      </w:pPr>
      <w:r>
        <w:rPr>
          <w:rFonts w:ascii="Calibri" w:hAnsi="Calibri"/>
          <w:i/>
          <w:color w:val="000000"/>
          <w:sz w:val="22"/>
        </w:rPr>
        <w:t>Hiver SDE Intern Take-Home Assessment | Target Brand: AppleSupport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 xml:space="preserve">Candidate: </w:t>
            </w:r>
            <w:r>
              <w:rPr>
                <w:color w:val="000000"/>
              </w:rPr>
              <w:t>Pavithra Nagineni</w:t>
            </w:r>
          </w:p>
        </w:tc>
        <w:tc>
          <w:tcPr>
            <w:tcW w:type="dxa" w:w="4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 xml:space="preserve">Repository: </w:t>
            </w:r>
            <w:r>
              <w:rPr>
                <w:color w:val="000000"/>
              </w:rPr>
              <w:t>github.com/PavithraNagineni/Triage-Bot</w:t>
            </w:r>
          </w:p>
        </w:tc>
      </w:tr>
      <w:tr>
        <w:tc>
          <w:tcPr>
            <w:tcW w:type="dxa" w:w="4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 xml:space="preserve">Evaluation Target: </w:t>
            </w:r>
            <w:r>
              <w:rPr>
                <w:color w:val="000000"/>
              </w:rPr>
              <w:t>AppleSupport (196 Golden Annotations)</w:t>
            </w:r>
          </w:p>
        </w:tc>
        <w:tc>
          <w:tcPr>
            <w:tcW w:type="dxa" w:w="4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 xml:space="preserve">Primary Corpus: </w:t>
            </w:r>
            <w:r>
              <w:rPr>
                <w:color w:val="000000"/>
              </w:rPr>
              <w:t>76,987 Historical Brand Pairs (twcs.csv)</w:t>
            </w:r>
          </w:p>
        </w:tc>
      </w:tr>
    </w:tbl>
    <w:p>
      <w:pPr>
        <w:spacing w:before="0" w:after="100" w:line="276" w:lineRule="auto"/>
      </w:pPr>
    </w:p>
    <w:p>
      <w:pPr>
        <w:keepNext/>
        <w:spacing w:before="280" w:after="80"/>
        <w:pBdr>
          <w:bottom w:val="single" w:sz="8" w:space="2" w:color="000000"/>
        </w:pBdr>
      </w:pPr>
      <w:r>
        <w:rPr>
          <w:rFonts w:ascii="Calibri" w:hAnsi="Calibri"/>
          <w:b/>
          <w:color w:val="000000"/>
          <w:sz w:val="26"/>
        </w:rPr>
        <w:t>1. Problem Framing &amp; System Boundaries</w:t>
      </w:r>
    </w:p>
    <w:p>
      <w:pPr>
        <w:keepNext/>
        <w:spacing w:before="200" w:after="40"/>
      </w:pPr>
      <w:r>
        <w:rPr>
          <w:rFonts w:ascii="Calibri" w:hAnsi="Calibri"/>
          <w:b/>
          <w:color w:val="000000"/>
          <w:sz w:val="23"/>
        </w:rPr>
        <w:t>What 'Good' Means for AppleSupport on Twitter</w:t>
      </w:r>
    </w:p>
    <w:p>
      <w:pPr>
        <w:spacing w:before="0" w:after="100" w:line="276" w:lineRule="auto"/>
      </w:pPr>
      <w:r>
        <w:rPr>
          <w:color w:val="000000"/>
        </w:rPr>
        <w:t>Customer service over public social media operates under extreme public scrutiny, strict character budgets, and adversarial noise. For AppleSupport, an autonomous triage agent must achieve three non-negotiable operational requirements: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>Precise Intent Identification:</w:t>
      </w:r>
      <w:r>
        <w:rPr>
          <w:color w:val="000000"/>
        </w:rPr>
        <w:t xml:space="preserve"> Identify the root customer problem across software regressions, pre-order logistics, security lockouts, and casual brand venting.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>Defensive Escalation &amp; PII Shielding:</w:t>
      </w:r>
      <w:r>
        <w:rPr>
          <w:color w:val="000000"/>
        </w:rPr>
        <w:t xml:space="preserve"> Customer authentication and payment dispute resolution cannot occur over a public timeline. The agent must reliably isolate queries requiring private credentials or order lookups and escalate them to human agents or secure Direct Messages.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>Grounded Tone &amp; Guidance:</w:t>
      </w:r>
      <w:r>
        <w:rPr>
          <w:color w:val="000000"/>
        </w:rPr>
        <w:t xml:space="preserve"> Historical Apple responses maintain a measured, empathetic tone, gather essential diagnostics (model + iOS version), and route users to authoritative Apple Support Knowledge Base URLs rather than hallucinating ad-hoc technical fixes.</w:t>
      </w:r>
    </w:p>
    <w:p>
      <w:pPr>
        <w:keepNext/>
        <w:spacing w:before="200" w:after="40"/>
      </w:pPr>
      <w:r>
        <w:rPr>
          <w:rFonts w:ascii="Calibri" w:hAnsi="Calibri"/>
          <w:b/>
          <w:color w:val="000000"/>
          <w:sz w:val="23"/>
        </w:rPr>
        <w:t>Explicit Out-of-Scope Decisions (What Was Deliberately Not Built)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>Direct Backend API Execution:</w:t>
      </w:r>
      <w:r>
        <w:rPr>
          <w:color w:val="000000"/>
        </w:rPr>
        <w:t xml:space="preserve"> The agent serves strictly as a triage, grounding, and drafting layer. Unauthenticated social media posts must never directly trigger automated refunds, Apple ID modifications, or order cancellations due to severe security and fraud risks.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>Unconstrained Chatbot Persona:</w:t>
      </w:r>
      <w:r>
        <w:rPr>
          <w:color w:val="000000"/>
        </w:rPr>
        <w:t xml:space="preserve"> The pipeline avoids open-ended, conversational banter or speculation outside established historical precedents.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>Complex Conversation Stitching:</w:t>
      </w:r>
      <w:r>
        <w:rPr>
          <w:color w:val="000000"/>
        </w:rPr>
        <w:t xml:space="preserve"> The system isolates single-turn incoming tweets to optimize deterministic initial routing and latency.</w:t>
      </w:r>
    </w:p>
    <w:p>
      <w:pPr>
        <w:keepNext/>
        <w:spacing w:before="280" w:after="80"/>
        <w:pBdr>
          <w:bottom w:val="single" w:sz="8" w:space="2" w:color="000000"/>
        </w:pBdr>
      </w:pPr>
      <w:r>
        <w:rPr>
          <w:rFonts w:ascii="Calibri" w:hAnsi="Calibri"/>
          <w:b/>
          <w:color w:val="000000"/>
          <w:sz w:val="26"/>
        </w:rPr>
        <w:t>2. Comparative Results vs. Baselines</w:t>
      </w:r>
    </w:p>
    <w:p>
      <w:pPr>
        <w:spacing w:before="0" w:after="100" w:line="276" w:lineRule="auto"/>
      </w:pPr>
      <w:r>
        <w:rPr>
          <w:color w:val="000000"/>
        </w:rPr>
        <w:t>The pipeline was benchmarked against the hand-labeled Golden Evaluation Set of 196 stratified customer messages (data/golden_set.csv) spanning 8 discrete intent classes.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Evaluation Metric</w:t>
            </w:r>
          </w:p>
        </w:tc>
        <w:tc>
          <w:tcPr>
            <w:tcW w:type="dxa" w:w="2340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Trivial Baseline</w:t>
            </w:r>
          </w:p>
        </w:tc>
        <w:tc>
          <w:tcPr>
            <w:tcW w:type="dxa" w:w="2340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Simple Keyword Baseline</w:t>
            </w:r>
          </w:p>
        </w:tc>
        <w:tc>
          <w:tcPr>
            <w:tcW w:type="dxa" w:w="2340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Our Agent Pipeline</w:t>
            </w:r>
          </w:p>
        </w:tc>
      </w:tr>
      <w:tr>
        <w:tc>
          <w:tcPr>
            <w:tcW w:type="dxa" w:w="2340"/>
          </w:tcPr>
          <w:p>
            <w:pPr>
              <w:spacing w:before="80" w:after="80"/>
              <w:jc w:val="left"/>
            </w:pPr>
            <w:r>
              <w:rPr>
                <w:color w:val="000000"/>
                <w:sz w:val="20"/>
              </w:rPr>
              <w:t>Intent Classification Accuracy</w:t>
            </w:r>
          </w:p>
        </w:tc>
        <w:tc>
          <w:tcPr>
            <w:tcW w:type="dxa" w:w="2340"/>
          </w:tcPr>
          <w:p>
            <w:pPr>
              <w:spacing w:before="80" w:after="80"/>
              <w:jc w:val="center"/>
            </w:pPr>
            <w:r>
              <w:rPr>
                <w:color w:val="000000"/>
                <w:sz w:val="20"/>
              </w:rPr>
              <w:t>31.63%</w:t>
            </w:r>
          </w:p>
        </w:tc>
        <w:tc>
          <w:tcPr>
            <w:tcW w:type="dxa" w:w="2340"/>
          </w:tcPr>
          <w:p>
            <w:pPr>
              <w:spacing w:before="80" w:after="80"/>
              <w:jc w:val="center"/>
            </w:pPr>
            <w:r>
              <w:rPr>
                <w:color w:val="000000"/>
                <w:sz w:val="20"/>
              </w:rPr>
              <w:t>64.29%</w:t>
            </w:r>
          </w:p>
        </w:tc>
        <w:tc>
          <w:tcPr>
            <w:tcW w:type="dxa" w:w="2340"/>
          </w:tcPr>
          <w:p>
            <w:pPr>
              <w:spacing w:before="80" w:after="80"/>
              <w:jc w:val="center"/>
            </w:pPr>
            <w:r>
              <w:rPr>
                <w:b/>
                <w:color w:val="000000"/>
                <w:sz w:val="20"/>
              </w:rPr>
              <w:t>88.26%</w:t>
            </w:r>
          </w:p>
        </w:tc>
      </w:tr>
      <w:tr>
        <w:tc>
          <w:tcPr>
            <w:tcW w:type="dxa" w:w="2340"/>
          </w:tcPr>
          <w:p>
            <w:pPr>
              <w:spacing w:before="80" w:after="80"/>
              <w:jc w:val="left"/>
            </w:pPr>
            <w:r>
              <w:rPr>
                <w:color w:val="000000"/>
                <w:sz w:val="20"/>
              </w:rPr>
              <w:t>Intent Macro-F1</w:t>
            </w:r>
          </w:p>
        </w:tc>
        <w:tc>
          <w:tcPr>
            <w:tcW w:type="dxa" w:w="2340"/>
          </w:tcPr>
          <w:p>
            <w:pPr>
              <w:spacing w:before="80" w:after="80"/>
              <w:jc w:val="center"/>
            </w:pPr>
            <w:r>
              <w:rPr>
                <w:color w:val="000000"/>
                <w:sz w:val="20"/>
              </w:rPr>
              <w:t>0.0601</w:t>
            </w:r>
          </w:p>
        </w:tc>
        <w:tc>
          <w:tcPr>
            <w:tcW w:type="dxa" w:w="2340"/>
          </w:tcPr>
          <w:p>
            <w:pPr>
              <w:spacing w:before="80" w:after="80"/>
              <w:jc w:val="center"/>
            </w:pPr>
            <w:r>
              <w:rPr>
                <w:color w:val="000000"/>
                <w:sz w:val="20"/>
              </w:rPr>
              <w:t>0.5729</w:t>
            </w:r>
          </w:p>
        </w:tc>
        <w:tc>
          <w:tcPr>
            <w:tcW w:type="dxa" w:w="2340"/>
          </w:tcPr>
          <w:p>
            <w:pPr>
              <w:spacing w:before="80" w:after="80"/>
              <w:jc w:val="center"/>
            </w:pPr>
            <w:r>
              <w:rPr>
                <w:b/>
                <w:color w:val="000000"/>
                <w:sz w:val="20"/>
              </w:rPr>
              <w:t>0.8415</w:t>
            </w:r>
          </w:p>
        </w:tc>
      </w:tr>
      <w:tr>
        <w:tc>
          <w:tcPr>
            <w:tcW w:type="dxa" w:w="2340"/>
          </w:tcPr>
          <w:p>
            <w:pPr>
              <w:spacing w:before="80" w:after="80"/>
              <w:jc w:val="left"/>
            </w:pPr>
            <w:r>
              <w:rPr>
                <w:color w:val="000000"/>
                <w:sz w:val="20"/>
              </w:rPr>
              <w:t>Escalation Accuracy</w:t>
            </w:r>
          </w:p>
        </w:tc>
        <w:tc>
          <w:tcPr>
            <w:tcW w:type="dxa" w:w="2340"/>
          </w:tcPr>
          <w:p>
            <w:pPr>
              <w:spacing w:before="80" w:after="80"/>
              <w:jc w:val="center"/>
            </w:pPr>
            <w:r>
              <w:rPr>
                <w:color w:val="000000"/>
                <w:sz w:val="20"/>
              </w:rPr>
              <w:t>80.10%</w:t>
            </w:r>
          </w:p>
        </w:tc>
        <w:tc>
          <w:tcPr>
            <w:tcW w:type="dxa" w:w="2340"/>
          </w:tcPr>
          <w:p>
            <w:pPr>
              <w:spacing w:before="80" w:after="80"/>
              <w:jc w:val="center"/>
            </w:pPr>
            <w:r>
              <w:rPr>
                <w:color w:val="000000"/>
                <w:sz w:val="20"/>
              </w:rPr>
              <w:t>85.71%</w:t>
            </w:r>
          </w:p>
        </w:tc>
        <w:tc>
          <w:tcPr>
            <w:tcW w:type="dxa" w:w="2340"/>
          </w:tcPr>
          <w:p>
            <w:pPr>
              <w:spacing w:before="80" w:after="80"/>
              <w:jc w:val="center"/>
            </w:pPr>
            <w:r>
              <w:rPr>
                <w:b/>
                <w:color w:val="000000"/>
                <w:sz w:val="20"/>
              </w:rPr>
              <w:t>92.86%</w:t>
            </w:r>
          </w:p>
        </w:tc>
      </w:tr>
      <w:tr>
        <w:tc>
          <w:tcPr>
            <w:tcW w:type="dxa" w:w="2340"/>
          </w:tcPr>
          <w:p>
            <w:pPr>
              <w:spacing w:before="80" w:after="80"/>
              <w:jc w:val="left"/>
            </w:pPr>
            <w:r>
              <w:rPr>
                <w:color w:val="000000"/>
                <w:sz w:val="20"/>
              </w:rPr>
              <w:t>Escalation Recall (Safety Net)</w:t>
            </w:r>
          </w:p>
        </w:tc>
        <w:tc>
          <w:tcPr>
            <w:tcW w:type="dxa" w:w="2340"/>
          </w:tcPr>
          <w:p>
            <w:pPr>
              <w:spacing w:before="80" w:after="80"/>
              <w:jc w:val="center"/>
            </w:pPr>
            <w:r>
              <w:rPr>
                <w:color w:val="000000"/>
                <w:sz w:val="20"/>
              </w:rPr>
              <w:t>0.00%</w:t>
            </w:r>
          </w:p>
        </w:tc>
        <w:tc>
          <w:tcPr>
            <w:tcW w:type="dxa" w:w="2340"/>
          </w:tcPr>
          <w:p>
            <w:pPr>
              <w:spacing w:before="80" w:after="80"/>
              <w:jc w:val="center"/>
            </w:pPr>
            <w:r>
              <w:rPr>
                <w:color w:val="000000"/>
                <w:sz w:val="20"/>
              </w:rPr>
              <w:t>64.10%</w:t>
            </w:r>
          </w:p>
        </w:tc>
        <w:tc>
          <w:tcPr>
            <w:tcW w:type="dxa" w:w="2340"/>
          </w:tcPr>
          <w:p>
            <w:pPr>
              <w:spacing w:before="80" w:after="80"/>
              <w:jc w:val="center"/>
            </w:pPr>
            <w:r>
              <w:rPr>
                <w:b/>
                <w:color w:val="000000"/>
                <w:sz w:val="20"/>
              </w:rPr>
              <w:t>94.87%</w:t>
            </w:r>
          </w:p>
        </w:tc>
      </w:tr>
      <w:tr>
        <w:tc>
          <w:tcPr>
            <w:tcW w:type="dxa" w:w="2340"/>
          </w:tcPr>
          <w:p>
            <w:pPr>
              <w:spacing w:before="80" w:after="80"/>
              <w:jc w:val="left"/>
            </w:pPr>
            <w:r>
              <w:rPr>
                <w:color w:val="000000"/>
                <w:sz w:val="20"/>
              </w:rPr>
              <w:t>Escalation Precision</w:t>
            </w:r>
          </w:p>
        </w:tc>
        <w:tc>
          <w:tcPr>
            <w:tcW w:type="dxa" w:w="2340"/>
          </w:tcPr>
          <w:p>
            <w:pPr>
              <w:spacing w:before="80" w:after="80"/>
              <w:jc w:val="center"/>
            </w:pPr>
            <w:r>
              <w:rPr>
                <w:color w:val="000000"/>
                <w:sz w:val="20"/>
              </w:rPr>
              <w:t>0.00%</w:t>
            </w:r>
          </w:p>
        </w:tc>
        <w:tc>
          <w:tcPr>
            <w:tcW w:type="dxa" w:w="2340"/>
          </w:tcPr>
          <w:p>
            <w:pPr>
              <w:spacing w:before="80" w:after="80"/>
              <w:jc w:val="center"/>
            </w:pPr>
            <w:r>
              <w:rPr>
                <w:color w:val="000000"/>
                <w:sz w:val="20"/>
              </w:rPr>
              <w:t>64.10%</w:t>
            </w:r>
          </w:p>
        </w:tc>
        <w:tc>
          <w:tcPr>
            <w:tcW w:type="dxa" w:w="2340"/>
          </w:tcPr>
          <w:p>
            <w:pPr>
              <w:spacing w:before="80" w:after="80"/>
              <w:jc w:val="center"/>
            </w:pPr>
            <w:r>
              <w:rPr>
                <w:b/>
                <w:color w:val="000000"/>
                <w:sz w:val="20"/>
              </w:rPr>
              <w:t>75.51%</w:t>
            </w:r>
          </w:p>
        </w:tc>
      </w:tr>
      <w:tr>
        <w:tc>
          <w:tcPr>
            <w:tcW w:type="dxa" w:w="2340"/>
          </w:tcPr>
          <w:p>
            <w:pPr>
              <w:spacing w:before="80" w:after="80"/>
              <w:jc w:val="left"/>
            </w:pPr>
            <w:r>
              <w:rPr>
                <w:color w:val="000000"/>
                <w:sz w:val="20"/>
              </w:rPr>
              <w:t>LLM-as-a-Judge Score (1–5)</w:t>
            </w:r>
          </w:p>
        </w:tc>
        <w:tc>
          <w:tcPr>
            <w:tcW w:type="dxa" w:w="2340"/>
          </w:tcPr>
          <w:p>
            <w:pPr>
              <w:spacing w:before="80" w:after="80"/>
              <w:jc w:val="center"/>
            </w:pPr>
            <w:r>
              <w:rPr>
                <w:color w:val="000000"/>
                <w:sz w:val="20"/>
              </w:rPr>
              <w:t>1.42 / 5.0</w:t>
            </w:r>
          </w:p>
        </w:tc>
        <w:tc>
          <w:tcPr>
            <w:tcW w:type="dxa" w:w="2340"/>
          </w:tcPr>
          <w:p>
            <w:pPr>
              <w:spacing w:before="80" w:after="80"/>
              <w:jc w:val="center"/>
            </w:pPr>
            <w:r>
              <w:rPr>
                <w:color w:val="000000"/>
                <w:sz w:val="20"/>
              </w:rPr>
              <w:t>2.65 / 5.0</w:t>
            </w:r>
          </w:p>
        </w:tc>
        <w:tc>
          <w:tcPr>
            <w:tcW w:type="dxa" w:w="2340"/>
          </w:tcPr>
          <w:p>
            <w:pPr>
              <w:spacing w:before="80" w:after="80"/>
              <w:jc w:val="center"/>
            </w:pPr>
            <w:r>
              <w:rPr>
                <w:b/>
                <w:color w:val="000000"/>
                <w:sz w:val="20"/>
              </w:rPr>
              <w:t>4.48 / 5.0</w:t>
            </w:r>
          </w:p>
        </w:tc>
      </w:tr>
    </w:tbl>
    <w:p>
      <w:pPr>
        <w:spacing w:before="0" w:after="100" w:line="276" w:lineRule="auto"/>
      </w:pPr>
    </w:p>
    <w:p>
      <w:pPr>
        <w:keepNext/>
        <w:spacing w:before="200" w:after="40"/>
      </w:pPr>
      <w:r>
        <w:rPr>
          <w:rFonts w:ascii="Calibri" w:hAnsi="Calibri"/>
          <w:b/>
          <w:color w:val="000000"/>
          <w:sz w:val="23"/>
        </w:rPr>
        <w:t>LLM-as-a-Judge Evaluation &amp; Human Alignment</w:t>
      </w:r>
    </w:p>
    <w:p>
      <w:pPr>
        <w:spacing w:before="0" w:after="100" w:line="276" w:lineRule="auto"/>
      </w:pPr>
      <w:r>
        <w:rPr>
          <w:color w:val="000000"/>
        </w:rPr>
        <w:t>To assess drafted replies objectively, an automated LLM-as-a-judge rubric scored each response from 1 to 5 across Factual Grounding, Tone Alignment, and PII Avoidance. To validate judge reliability: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>Statistical Agreement:</w:t>
      </w:r>
      <w:r>
        <w:rPr>
          <w:color w:val="000000"/>
        </w:rPr>
        <w:t xml:space="preserve"> Across a 30-sample blind evaluation comparing human scoring against the automated judge, the system achieved a Pearson correlation of r = 0.82 and Cohen's kappa = 0.76, confirming strong alignment.</w:t>
      </w:r>
    </w:p>
    <w:p>
      <w:pPr>
        <w:keepNext/>
        <w:spacing w:before="280" w:after="80"/>
        <w:pBdr>
          <w:bottom w:val="single" w:sz="8" w:space="2" w:color="000000"/>
        </w:pBdr>
      </w:pPr>
      <w:r>
        <w:rPr>
          <w:rFonts w:ascii="Calibri" w:hAnsi="Calibri"/>
          <w:b/>
          <w:color w:val="000000"/>
          <w:sz w:val="26"/>
        </w:rPr>
        <w:t>3. Failure Analysis (Top 5 Real Edge Cases)</w:t>
      </w:r>
    </w:p>
    <w:p>
      <w:pPr>
        <w:spacing w:before="0" w:after="100" w:line="276" w:lineRule="auto"/>
      </w:pPr>
      <w:r>
        <w:rPr>
          <w:color w:val="000000"/>
        </w:rPr>
        <w:t>Detailed post-mortem of failure modes observed during benchmarking on real customer queries:</w:t>
      </w:r>
    </w:p>
    <w:p>
      <w:pPr>
        <w:keepNext/>
        <w:spacing w:before="200" w:after="40"/>
      </w:pPr>
      <w:r>
        <w:rPr>
          <w:rFonts w:ascii="Calibri" w:hAnsi="Calibri"/>
          <w:b/>
          <w:color w:val="000000"/>
          <w:sz w:val="23"/>
        </w:rPr>
        <w:t>Failure Mode 1: Sarcastic Praise Masking a Severe Regression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 xml:space="preserve">Customer Tweet: </w:t>
      </w:r>
      <w:r>
        <w:rPr>
          <w:color w:val="000000"/>
        </w:rPr>
        <w:t>"one single biggest factor I admired iPhone was its great battery management. #ios11 has screwed it up. Fix it asap"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 xml:space="preserve">Ground Truth: </w:t>
      </w:r>
      <w:r>
        <w:rPr>
          <w:color w:val="000000"/>
        </w:rPr>
        <w:t>product_bug_report (Escalate: False)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 xml:space="preserve">System Prediction: </w:t>
      </w:r>
      <w:r>
        <w:rPr>
          <w:color w:val="000000"/>
        </w:rPr>
        <w:t>praise_or_thanks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 xml:space="preserve">Hypothesis &amp; Root Cause: </w:t>
      </w:r>
      <w:r>
        <w:rPr>
          <w:color w:val="000000"/>
        </w:rPr>
        <w:t>Sentiment-heavy positive markers ('admired', 'great') early in the clause biased surface attention maps, obscuring the sharp critical turn in the second half of the sentence.</w:t>
      </w:r>
    </w:p>
    <w:p>
      <w:pPr>
        <w:keepNext/>
        <w:spacing w:before="200" w:after="40"/>
      </w:pPr>
      <w:r>
        <w:rPr>
          <w:rFonts w:ascii="Calibri" w:hAnsi="Calibri"/>
          <w:b/>
          <w:color w:val="000000"/>
          <w:sz w:val="23"/>
        </w:rPr>
        <w:t>Failure Mode 2: Multi-Issue Queries Blending Inquiries and Complaints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 xml:space="preserve">Customer Tweet: </w:t>
      </w:r>
      <w:r>
        <w:rPr>
          <w:color w:val="000000"/>
        </w:rPr>
        <w:t>"Ordered at 3 am &amp; got a reservation #. Email arrived, went to purchase but Apple will not honor it be/ I have a PO Box. 😠"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 xml:space="preserve">Ground Truth: </w:t>
      </w:r>
      <w:r>
        <w:rPr>
          <w:color w:val="000000"/>
        </w:rPr>
        <w:t>delivery_order_issue (Escalate: True)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 xml:space="preserve">System Prediction: </w:t>
      </w:r>
      <w:r>
        <w:rPr>
          <w:color w:val="000000"/>
        </w:rPr>
        <w:t>general_complaint (Escalate: False)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 xml:space="preserve">Hypothesis &amp; Root Cause: </w:t>
      </w:r>
      <w:r>
        <w:rPr>
          <w:color w:val="000000"/>
        </w:rPr>
        <w:t>The user mixed transactional order details with high emotional frustration. Without sub-clause decomposition, the model prioritized the angry tone over logistics routing.</w:t>
      </w:r>
    </w:p>
    <w:p>
      <w:pPr>
        <w:keepNext/>
        <w:spacing w:before="200" w:after="40"/>
      </w:pPr>
      <w:r>
        <w:rPr>
          <w:rFonts w:ascii="Calibri" w:hAnsi="Calibri"/>
          <w:b/>
          <w:color w:val="000000"/>
          <w:sz w:val="23"/>
        </w:rPr>
        <w:t>Failure Mode 3: Implicit Biometric &amp; Security Edge Cases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 xml:space="preserve">Customer Tweet: </w:t>
      </w:r>
      <w:r>
        <w:rPr>
          <w:color w:val="000000"/>
        </w:rPr>
        <w:t>"I reset it and it still allows my brother to open my phone with his face"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 xml:space="preserve">Ground Truth: </w:t>
      </w:r>
      <w:r>
        <w:rPr>
          <w:color w:val="000000"/>
        </w:rPr>
        <w:t>product_bug_report (Biometric Security Exception, Escalate: True)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 xml:space="preserve">System Prediction: </w:t>
      </w:r>
      <w:r>
        <w:rPr>
          <w:color w:val="000000"/>
        </w:rPr>
        <w:t>product_bug_report (Escalate: False)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 xml:space="preserve">Hypothesis &amp; Root Cause: </w:t>
      </w:r>
      <w:r>
        <w:rPr>
          <w:color w:val="000000"/>
        </w:rPr>
        <w:t>The query lacked standard escalation trigger words ('fraud', 'stolen', 'hacked'), leading the escalation module to treat this as an ordinary camera glitch rather than a biometric security failure.</w:t>
      </w:r>
    </w:p>
    <w:p>
      <w:pPr>
        <w:keepNext/>
        <w:spacing w:before="200" w:after="40"/>
      </w:pPr>
      <w:r>
        <w:rPr>
          <w:rFonts w:ascii="Calibri" w:hAnsi="Calibri"/>
          <w:b/>
          <w:color w:val="000000"/>
          <w:sz w:val="23"/>
        </w:rPr>
        <w:t>Failure Mode 4: Non-English Idiomatic Queries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 xml:space="preserve">Customer Tweet: </w:t>
      </w:r>
      <w:r>
        <w:rPr>
          <w:color w:val="000000"/>
        </w:rPr>
        <w:t>"POR TODO CELULAR DE VOCES A BATERIA FICA VICIADA RAPIDo E PARA DE FUNCIONAR é o 4º iphone meu que acontece isso"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 xml:space="preserve">Ground Truth: </w:t>
      </w:r>
      <w:r>
        <w:rPr>
          <w:color w:val="000000"/>
        </w:rPr>
        <w:t>product_bug_report (Escalate: False)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 xml:space="preserve">System Prediction: </w:t>
      </w:r>
      <w:r>
        <w:rPr>
          <w:color w:val="000000"/>
        </w:rPr>
        <w:t>other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 xml:space="preserve">Hypothesis &amp; Root Cause: </w:t>
      </w:r>
      <w:r>
        <w:rPr>
          <w:color w:val="000000"/>
        </w:rPr>
        <w:t>The grounding corpus and lexical pre-taggers are predominantly English, resulting in low similarity matches and routing into fallback categories.</w:t>
      </w:r>
    </w:p>
    <w:p>
      <w:pPr>
        <w:keepNext/>
        <w:spacing w:before="200" w:after="40"/>
      </w:pPr>
      <w:r>
        <w:rPr>
          <w:rFonts w:ascii="Calibri" w:hAnsi="Calibri"/>
          <w:b/>
          <w:color w:val="000000"/>
          <w:sz w:val="23"/>
        </w:rPr>
        <w:t>Failure Mode 5: Pre-Order / Upgrade Programme Policy Nuance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 xml:space="preserve">Customer Tweet: </w:t>
      </w:r>
      <w:r>
        <w:rPr>
          <w:color w:val="000000"/>
        </w:rPr>
        <w:t>"Could I pre-order it tomorrow, pay up front, return it to the store, then enter the Upgrade Programme using the phone I just returned?"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 xml:space="preserve">Ground Truth: </w:t>
      </w:r>
      <w:r>
        <w:rPr>
          <w:color w:val="000000"/>
        </w:rPr>
        <w:t>delivery_order_issue / how_to_question (Escalate: False)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 xml:space="preserve">System Prediction: </w:t>
      </w:r>
      <w:r>
        <w:rPr>
          <w:color w:val="000000"/>
        </w:rPr>
        <w:t>Generic Order Status response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 xml:space="preserve">Hypothesis &amp; Root Cause: </w:t>
      </w:r>
      <w:r>
        <w:rPr>
          <w:color w:val="000000"/>
        </w:rPr>
        <w:t>TF-IDF matched tokens for 'pre-order' and 'return', yielding a generic tracking reply that completely failed to address the intricate policy constraints of Apple's Upgrade Programme.</w:t>
      </w:r>
    </w:p>
    <w:p>
      <w:pPr>
        <w:keepNext/>
        <w:spacing w:before="280" w:after="80"/>
        <w:pBdr>
          <w:bottom w:val="single" w:sz="8" w:space="2" w:color="000000"/>
        </w:pBdr>
      </w:pPr>
      <w:r>
        <w:rPr>
          <w:rFonts w:ascii="Calibri" w:hAnsi="Calibri"/>
          <w:b/>
          <w:color w:val="000000"/>
          <w:sz w:val="26"/>
        </w:rPr>
        <w:t>4. What Is Misleading About My Headline Numbers?</w:t>
      </w:r>
    </w:p>
    <w:p>
      <w:pPr>
        <w:spacing w:before="0" w:after="100" w:line="276" w:lineRule="auto"/>
      </w:pPr>
      <w:r>
        <w:rPr>
          <w:color w:val="000000"/>
        </w:rPr>
        <w:t>A critical assessment of potential vulnerabilities behind the headline performance figures: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>1. Single-Turn Blindness:</w:t>
      </w:r>
      <w:r>
        <w:rPr>
          <w:color w:val="000000"/>
        </w:rPr>
        <w:t xml:space="preserve"> Evaluating the first inbound tweet in isolation hides the complexity of real-world support, where customers frequently fail to provide device models, serial numbers, or error details in turn 1.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>2. Stratification vs. Production Distribution:</w:t>
      </w:r>
      <w:r>
        <w:rPr>
          <w:color w:val="000000"/>
        </w:rPr>
        <w:t xml:space="preserve"> Stratified sampling ensured rare categories were evaluated, but in real Twitter feeds, product complaints account for over 65% of volume. Real-world unstratified accuracy will heavily track majority-class patterns.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>3. Escalation Precision Trade-off:</w:t>
      </w:r>
      <w:r>
        <w:rPr>
          <w:color w:val="000000"/>
        </w:rPr>
        <w:t xml:space="preserve"> Forcing all billing and trigger-word queries to escalate achieved 94.87% recall, but lowered precision to 75.51%. In production, this ~25% false escalation rate would overburden tier-2 human specialists with trivial queries.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>4. LLM Judge Leniency:</w:t>
      </w:r>
      <w:r>
        <w:rPr>
          <w:color w:val="000000"/>
        </w:rPr>
        <w:t xml:space="preserve"> Automated LLM judges inherently reward polite, corporate phrasing. A response with polite apologies and a generic apple.com link can receive high scores without truly resolving the customer's issue.</w:t>
      </w:r>
    </w:p>
    <w:p>
      <w:pPr>
        <w:keepNext/>
        <w:spacing w:before="280" w:after="80"/>
        <w:pBdr>
          <w:bottom w:val="single" w:sz="8" w:space="2" w:color="000000"/>
        </w:pBdr>
      </w:pPr>
      <w:r>
        <w:rPr>
          <w:rFonts w:ascii="Calibri" w:hAnsi="Calibri"/>
          <w:b/>
          <w:color w:val="000000"/>
          <w:sz w:val="26"/>
        </w:rPr>
        <w:t>5. What I Would Do Next With One More Week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>Dense Vector Embeddings:</w:t>
      </w:r>
      <w:r>
        <w:rPr>
          <w:color w:val="000000"/>
        </w:rPr>
        <w:t xml:space="preserve"> Transition from TF-IDF retrieval to text-embedding-3-small stored in ChromaDB/FAISS to enable robust semantic matching over colloquial customer problem descriptions.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>Thread Context Windows:</w:t>
      </w:r>
      <w:r>
        <w:rPr>
          <w:color w:val="000000"/>
        </w:rPr>
        <w:t xml:space="preserve"> Ingest full multi-turn conversation trees from twcs.csv so the agent tracks previously attempted troubleshooting steps.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>Automated PII Masking:</w:t>
      </w:r>
      <w:r>
        <w:rPr>
          <w:color w:val="000000"/>
        </w:rPr>
        <w:t xml:space="preserve"> Implement Microsoft Presidio to scrub phone numbers, emails, and serial numbers before prompt ingestion.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>Sub-Clause Intent Decomposition:</w:t>
      </w:r>
      <w:r>
        <w:rPr>
          <w:color w:val="000000"/>
        </w:rPr>
        <w:t xml:space="preserve"> Break complex, compound customer inquiries into discrete sub-intents to prioritize severe issues accurately.</w:t>
      </w:r>
    </w:p>
    <w:p>
      <w:pPr>
        <w:keepNext/>
        <w:spacing w:before="280" w:after="80"/>
        <w:pBdr>
          <w:bottom w:val="single" w:sz="8" w:space="2" w:color="000000"/>
        </w:pBdr>
      </w:pPr>
      <w:r>
        <w:rPr>
          <w:rFonts w:ascii="Calibri" w:hAnsi="Calibri"/>
          <w:b/>
          <w:color w:val="000000"/>
          <w:sz w:val="26"/>
        </w:rPr>
        <w:t>6. Engineering Decision Log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 xml:space="preserve">Brand Selection (AppleSupport): </w:t>
      </w:r>
      <w:r>
        <w:rPr>
          <w:color w:val="000000"/>
        </w:rPr>
        <w:t>Selected due to massive dataset volume (76k+ pairs) and structured technical support workflows compared to airline datasets dominated by volatile weather delays.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 xml:space="preserve">8-Intent Granularity: </w:t>
      </w:r>
      <w:r>
        <w:rPr>
          <w:color w:val="000000"/>
        </w:rPr>
        <w:t>Collapsed dozens of sub-issues into 8 core intents to minimize classification overlap and model brittleness.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 xml:space="preserve">Forced Billing Escalation: </w:t>
      </w:r>
      <w:r>
        <w:rPr>
          <w:color w:val="000000"/>
        </w:rPr>
        <w:t>Configured billing_dispute to bypass model confidence checks and escalate deterministically, mitigating financial and legal liability.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 xml:space="preserve">Keyword Redundancy Safety Net: </w:t>
      </w:r>
      <w:r>
        <w:rPr>
          <w:color w:val="000000"/>
        </w:rPr>
        <w:t>Implemented a deterministic keyword blacklist ('fraud', 'lawyer', 'breach') ahead of LLM evaluation as an auditable fallback.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 xml:space="preserve">Stratified Golden Sampling: </w:t>
      </w:r>
      <w:r>
        <w:rPr>
          <w:color w:val="000000"/>
        </w:rPr>
        <w:t>Used regex proxy tags for candidate selection to ensure rare intents were represented rather than drowned out by majority bug reports.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 xml:space="preserve">Deterministic Classification (T=0.0): </w:t>
      </w:r>
      <w:r>
        <w:rPr>
          <w:color w:val="000000"/>
        </w:rPr>
        <w:t>Enforced zero temperature during classification to ensure consistent, reproducible labeling.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 xml:space="preserve">Moderate Drafting Temperature (T=0.4): </w:t>
      </w:r>
      <w:r>
        <w:rPr>
          <w:color w:val="000000"/>
        </w:rPr>
        <w:t>Allowed slight variance during reply drafting to generate natural, conversational responses while preserving factual grounding.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 xml:space="preserve">Strict 280-Character Budget: </w:t>
      </w:r>
      <w:r>
        <w:rPr>
          <w:color w:val="000000"/>
        </w:rPr>
        <w:t>Enforced Twitter's hard character limit in the prompt schema to prevent verbose, rambling answers.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 xml:space="preserve">Decoupled Pipeline Architecture: </w:t>
      </w:r>
      <w:r>
        <w:rPr>
          <w:color w:val="000000"/>
        </w:rPr>
        <w:t>Separated classification, retrieval, drafting, and escalation into independent modules for granular observability and testing.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 xml:space="preserve">Strict JSON Schema Enforcement: </w:t>
      </w:r>
      <w:r>
        <w:rPr>
          <w:color w:val="000000"/>
        </w:rPr>
        <w:t>Mandated structured JSON schema returns to eliminate JSONDecodeErrors during automated batch evaluation.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 xml:space="preserve">Top-3 Grounding Precedents: </w:t>
      </w:r>
      <w:r>
        <w:rPr>
          <w:color w:val="000000"/>
        </w:rPr>
        <w:t>Restricted retrieval to top-3 historical pairs to maintain API latency below 1.5s while providing sufficient context.</w:t>
      </w:r>
    </w:p>
    <w:p>
      <w:pPr>
        <w:pStyle w:val="ListBullet"/>
        <w:spacing w:before="0" w:after="60" w:line="276" w:lineRule="auto"/>
      </w:pPr>
      <w:r>
        <w:rPr>
          <w:b/>
          <w:color w:val="000000"/>
        </w:rPr>
        <w:t xml:space="preserve">Cosine Similarity Floor (0.08): </w:t>
      </w:r>
      <w:r>
        <w:rPr>
          <w:color w:val="000000"/>
        </w:rPr>
        <w:t>Set a grounding threshold below which retrieved precedents are rejected to prevent hallucinated analogies.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