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3. PROJECT DESIGN PHASE</w:t>
      </w:r>
    </w:p>
    <w:p>
      <w:pPr>
        <w:spacing w:after="200" w:line="276" w:lineRule="auto"/>
      </w:pPr>
      <w:r>
        <w:t>The project is designed by connecting users, roles, the Institution Details table, and ACLs. First, the required user and roles are created. Then, the table and its fields are configured.</w:t>
      </w:r>
    </w:p>
    <w:p>
      <w:pPr>
        <w:spacing w:after="200" w:line="276" w:lineRule="auto"/>
      </w:pPr>
      <w:r>
        <w:t>After creating the table, ACLs are designed for Read, Create, Write, and Delete operations. The Read ACL uses a script to check the user's role and the branch value before allowing access.</w:t>
      </w:r>
    </w:p>
    <w:p>
      <w:pPr>
        <w:spacing w:after="200" w:line="276" w:lineRule="auto"/>
      </w:pPr>
      <w:r>
        <w:t>The basic project flow is:</w:t>
      </w:r>
      <w:r>
        <w:t>User → Role → Institution Details Table → ACL → Access</w:t>
      </w:r>
    </w:p>
    <w:p>
      <w:pPr>
        <w:spacing w:after="200" w:line="276" w:lineRule="auto"/>
      </w:pPr>
      <w:r>
        <w:t>This design provides controlled access to the records based on the configured permissions and conditions.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