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5. PROJECT DEVELOPMENT PHASE</w:t>
      </w:r>
    </w:p>
    <w:p>
      <w:pPr>
        <w:spacing w:after="200" w:line="276" w:lineRule="auto"/>
      </w:pPr>
      <w:r>
        <w:t>In the development phase, the planned components are created in ServiceNow. First, the EEE User is created and the required roles are configured.</w:t>
      </w:r>
    </w:p>
    <w:p>
      <w:pPr>
        <w:spacing w:after="200" w:line="276" w:lineRule="auto"/>
      </w:pPr>
      <w:r>
        <w:t>Next, the Institution Details table is created with the required student fields. Sample records with different branch values are added for testing.</w:t>
      </w:r>
    </w:p>
    <w:p>
      <w:pPr>
        <w:spacing w:after="200" w:line="276" w:lineRule="auto"/>
      </w:pPr>
      <w:r>
        <w:t>After that, ACLs are created for Read, Create, Write, and Delete operations. The Read ACL contains the script used to check the user's role and branch value. The other ACLs control the required permissions for creating, updating, and deleting records.</w:t>
      </w:r>
    </w:p>
    <w:p>
      <w:pPr>
        <w:spacing w:after="200" w:line="276" w:lineRule="auto"/>
      </w:pPr>
      <w:r>
        <w:t>The development phase completes the main ServiceNow implementation of the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