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6. PROJECT TESTING PHASE</w:t>
      </w:r>
    </w:p>
    <w:p>
      <w:pPr>
        <w:spacing w:after="200" w:line="276" w:lineRule="auto"/>
      </w:pPr>
      <w:r>
        <w:t>The project is tested using the created user, roles, and sample records. The EEE User is used to check whether the configured ACL rules are working correctly.</w:t>
      </w:r>
    </w:p>
    <w:p>
      <w:pPr>
        <w:spacing w:after="200" w:line="276" w:lineRule="auto"/>
      </w:pPr>
      <w:r>
        <w:t>The Read operation is tested by checking whether the user can view the permitted branch records. The Create operation is tested to check whether the user can create a new record.</w:t>
      </w:r>
    </w:p>
    <w:p>
      <w:pPr>
        <w:spacing w:after="200" w:line="276" w:lineRule="auto"/>
      </w:pPr>
      <w:r>
        <w:t>The Write operation is tested by checking whether the user can modify an existing record. The Delete operation is tested by checking whether the user can delete a record.</w:t>
      </w:r>
    </w:p>
    <w:p>
      <w:pPr>
        <w:spacing w:after="200" w:line="276" w:lineRule="auto"/>
      </w:pPr>
      <w:r>
        <w:t>The testing is used to verify that the ACLs control access according to the configured roles and conditions.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