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8. PROJECT DEMONSTRATION PHASE</w:t>
      </w:r>
    </w:p>
    <w:p>
      <w:pPr>
        <w:spacing w:after="200" w:line="276" w:lineRule="auto"/>
      </w:pPr>
      <w:r>
        <w:t>The final project is demonstrated by showing the complete ACL implementation in ServiceNow. The demonstration includes the created user, roles, Institution Details table, and ACL configurations.</w:t>
      </w:r>
    </w:p>
    <w:p>
      <w:pPr>
        <w:spacing w:after="200" w:line="276" w:lineRule="auto"/>
      </w:pPr>
      <w:r>
        <w:t>The Read ACL is demonstrated by checking the records available to the EEE User. The Create, Write, and Delete ACLs are also demonstrated to show how permissions control each operation.</w:t>
      </w:r>
    </w:p>
    <w:p>
      <w:pPr>
        <w:spacing w:after="200" w:line="276" w:lineRule="auto"/>
      </w:pPr>
      <w:r>
        <w:t>The demonstration shows how Script-Controlled ACLs can be used to restrict record access based on field values and user permissions in ServiceNow.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