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jc w:val="center"/>
      </w:pPr>
      <w:r>
        <w:t xml:space="preserve">LexFront</w:t>
      </w:r>
      <w:r>
        <w:t xml:space="preserve"> </w:t>
      </w:r>
      <w:r>
        <w:t xml:space="preserve">Review</w:t>
      </w:r>
      <w:r>
        <w:t xml:space="preserve"> </w:t>
      </w:r>
      <w:r>
        <w:t xml:space="preserve">1:</w:t>
      </w:r>
      <w:r>
        <w:t xml:space="preserve"> </w:t>
      </w:r>
      <w:r>
        <w:t xml:space="preserve">Screenshot</w:t>
      </w:r>
      <w:r>
        <w:t xml:space="preserve"> </w:t>
      </w:r>
      <w:r>
        <w:t xml:space="preserve">Guide</w:t>
      </w:r>
      <w:r>
        <w:t xml:space="preserve"> </w:t>
      </w:r>
      <w:r>
        <w:t xml:space="preserve">and</w:t>
      </w:r>
      <w:r>
        <w:t xml:space="preserve"> </w:t>
      </w:r>
      <w:r>
        <w:t xml:space="preserve">Finalization</w:t>
      </w:r>
      <w:r>
        <w:t xml:space="preserve"> </w:t>
      </w:r>
      <w:r>
        <w:t xml:space="preserve">Guide</w:t>
      </w:r>
    </w:p>
    <w:p>
      <w:pPr>
        <w:pStyle w:val="Subtitle"/>
        <w:jc w:val="center"/>
      </w:pPr>
      <w:r>
        <w:t xml:space="preserve">What</w:t>
      </w:r>
      <w:r>
        <w:t xml:space="preserve"> </w:t>
      </w:r>
      <w:r>
        <w:t xml:space="preserve">to</w:t>
      </w:r>
      <w:r>
        <w:t xml:space="preserve"> </w:t>
      </w:r>
      <w:r>
        <w:t xml:space="preserve">capture,</w:t>
      </w:r>
      <w:r>
        <w:t xml:space="preserve"> </w:t>
      </w:r>
      <w:r>
        <w:t xml:space="preserve">how</w:t>
      </w:r>
      <w:r>
        <w:t xml:space="preserve"> </w:t>
      </w:r>
      <w:r>
        <w:t xml:space="preserve">to</w:t>
      </w:r>
      <w:r>
        <w:t xml:space="preserve"> </w:t>
      </w:r>
      <w:r>
        <w:t xml:space="preserve">run</w:t>
      </w:r>
      <w:r>
        <w:t xml:space="preserve"> </w:t>
      </w:r>
      <w:r>
        <w:t xml:space="preserve">it,</w:t>
      </w:r>
      <w:r>
        <w:t xml:space="preserve"> </w:t>
      </w:r>
      <w:r>
        <w:t xml:space="preserve">and</w:t>
      </w:r>
      <w:r>
        <w:t xml:space="preserve"> </w:t>
      </w:r>
      <w:r>
        <w:t xml:space="preserve">how</w:t>
      </w:r>
      <w:r>
        <w:t xml:space="preserve"> </w:t>
      </w:r>
      <w:r>
        <w:t xml:space="preserve">to</w:t>
      </w:r>
      <w:r>
        <w:t xml:space="preserve"> </w:t>
      </w:r>
      <w:r>
        <w:t xml:space="preserve">make</w:t>
      </w:r>
      <w:r>
        <w:t xml:space="preserve"> </w:t>
      </w:r>
      <w:r>
        <w:t xml:space="preserve">the</w:t>
      </w:r>
      <w:r>
        <w:t xml:space="preserve"> </w:t>
      </w:r>
      <w:r>
        <w:t xml:space="preserve">report</w:t>
      </w:r>
      <w:r>
        <w:t xml:space="preserve"> </w:t>
      </w:r>
      <w:r>
        <w:t xml:space="preserve">your</w:t>
      </w:r>
      <w:r>
        <w:t xml:space="preserve"> </w:t>
      </w:r>
      <w:r>
        <w:t xml:space="preserve">own</w:t>
      </w:r>
    </w:p>
    <w:bookmarkStart w:id="20" w:name="read-this-first"/>
    <w:p>
      <w:pPr>
        <w:pStyle w:val="Heading1"/>
      </w:pPr>
      <w:r>
        <w:t xml:space="preserve">0. Read this first</w:t>
      </w:r>
    </w:p>
    <w:p>
      <w:pPr>
        <w:pStyle w:val="FirstParagraph"/>
      </w:pPr>
      <w:r>
        <w:t xml:space="preserve">This guide has three parts.</w:t>
      </w:r>
    </w:p>
    <w:p>
      <w:pPr>
        <w:numPr>
          <w:ilvl w:val="0"/>
          <w:numId w:val="1001"/>
        </w:numPr>
        <w:pStyle w:val="Compact"/>
      </w:pPr>
      <w:r>
        <w:rPr>
          <w:bCs/>
          <w:b/>
        </w:rPr>
        <w:t xml:space="preserve">Part A:</w:t>
      </w:r>
      <w:r>
        <w:t xml:space="preserve"> </w:t>
      </w:r>
      <w:r>
        <w:t xml:space="preserve">every screenshot you might paste into the report, how to produce it, and where it goes.</w:t>
      </w:r>
    </w:p>
    <w:p>
      <w:pPr>
        <w:numPr>
          <w:ilvl w:val="0"/>
          <w:numId w:val="1001"/>
        </w:numPr>
        <w:pStyle w:val="Compact"/>
      </w:pPr>
      <w:r>
        <w:rPr>
          <w:bCs/>
          <w:b/>
        </w:rPr>
        <w:t xml:space="preserve">Part B:</w:t>
      </w:r>
      <w:r>
        <w:t xml:space="preserve"> </w:t>
      </w:r>
      <w:r>
        <w:t xml:space="preserve">how to turn the draft into your own report, by hand, efficiently.</w:t>
      </w:r>
    </w:p>
    <w:p>
      <w:pPr>
        <w:numPr>
          <w:ilvl w:val="0"/>
          <w:numId w:val="1001"/>
        </w:numPr>
        <w:pStyle w:val="Compact"/>
      </w:pPr>
      <w:r>
        <w:rPr>
          <w:bCs/>
          <w:b/>
        </w:rPr>
        <w:t xml:space="preserve">Part C:</w:t>
      </w:r>
      <w:r>
        <w:t xml:space="preserve"> </w:t>
      </w:r>
      <w:r>
        <w:t xml:space="preserve">how to produce the graphs and diagrams yourselves instead of using the ones in the draft.</w:t>
      </w:r>
    </w:p>
    <w:p>
      <w:pPr>
        <w:pStyle w:val="FirstParagraph"/>
      </w:pPr>
      <w:r>
        <w:t xml:space="preserve">Three ground rules apply throughout.</w:t>
      </w:r>
    </w:p>
    <w:p>
      <w:pPr>
        <w:numPr>
          <w:ilvl w:val="0"/>
          <w:numId w:val="1002"/>
        </w:numPr>
        <w:pStyle w:val="Compact"/>
      </w:pPr>
      <w:r>
        <w:rPr>
          <w:bCs/>
          <w:b/>
        </w:rPr>
        <w:t xml:space="preserve">Numbers never get retyped.</w:t>
      </w:r>
      <w:r>
        <w:t xml:space="preserve"> </w:t>
      </w:r>
      <w:r>
        <w:t xml:space="preserve">Every number in the report comes from</w:t>
      </w:r>
      <w:r>
        <w:t xml:space="preserve"> </w:t>
      </w:r>
      <w:r>
        <w:rPr>
          <w:rStyle w:val="VerbatimChar"/>
        </w:rPr>
        <w:t xml:space="preserve">results/</w:t>
      </w:r>
      <w:r>
        <w:t xml:space="preserve">. If you edit prose, leave the numbers alone. If a number must change, change the results file by re-running the code, then rebuild.</w:t>
      </w:r>
    </w:p>
    <w:p>
      <w:pPr>
        <w:numPr>
          <w:ilvl w:val="0"/>
          <w:numId w:val="1002"/>
        </w:numPr>
        <w:pStyle w:val="Compact"/>
      </w:pPr>
      <w:r>
        <w:rPr>
          <w:bCs/>
          <w:b/>
        </w:rPr>
        <w:t xml:space="preserve">A screenshot must show something you actually ran.</w:t>
      </w:r>
      <w:r>
        <w:t xml:space="preserve"> </w:t>
      </w:r>
      <w:r>
        <w:t xml:space="preserve">Do not mock one up or edit pixels. If a screenshot shows different numbers from the report, say why in its caption (see A.2).</w:t>
      </w:r>
    </w:p>
    <w:p>
      <w:pPr>
        <w:numPr>
          <w:ilvl w:val="0"/>
          <w:numId w:val="1002"/>
        </w:numPr>
        <w:pStyle w:val="Compact"/>
      </w:pPr>
      <w:r>
        <w:rPr>
          <w:bCs/>
          <w:b/>
        </w:rPr>
        <w:t xml:space="preserve">Follow your course's rule on AI assistance.</w:t>
      </w:r>
      <w:r>
        <w:t xml:space="preserve"> </w:t>
      </w:r>
      <w:r>
        <w:t xml:space="preserve">The draft was written with AI help. Check what your course allows, and disclose it the way your course asks. Part B is about making sure the report is accurate, understood and in your own words. It is not about hiding where a first draft came from, and nothing here is meant to get past an AI detector.</w:t>
      </w:r>
    </w:p>
    <w:bookmarkEnd w:id="20"/>
    <w:bookmarkStart w:id="33" w:name="part-a-screenshots"/>
    <w:p>
      <w:pPr>
        <w:pStyle w:val="Heading1"/>
      </w:pPr>
      <w:r>
        <w:t xml:space="preserve">Part A: Screenshots</w:t>
      </w:r>
    </w:p>
    <w:bookmarkStart w:id="21" w:name="a.1-one-time-setup"/>
    <w:p>
      <w:pPr>
        <w:pStyle w:val="Heading2"/>
      </w:pPr>
      <w:r>
        <w:t xml:space="preserve">A.1 One-time setup</w:t>
      </w:r>
    </w:p>
    <w:p>
      <w:pPr>
        <w:pStyle w:val="FirstParagraph"/>
      </w:pPr>
      <w:r>
        <w:t xml:space="preserve">You need these on the machine where you take screenshots. Do this once.</w:t>
      </w:r>
    </w:p>
    <w:p>
      <w:pPr>
        <w:numPr>
          <w:ilvl w:val="0"/>
          <w:numId w:val="1003"/>
        </w:numPr>
      </w:pPr>
      <w:r>
        <w:t xml:space="preserve">Install Python 3.11 and Git.</w:t>
      </w:r>
    </w:p>
    <w:p>
      <w:pPr>
        <w:numPr>
          <w:ilvl w:val="0"/>
          <w:numId w:val="1003"/>
        </w:numPr>
      </w:pPr>
      <w:r>
        <w:t xml:space="preserve">Clone the repo and switch to the report branch:</w:t>
      </w:r>
    </w:p>
    <w:p>
      <w:pPr>
        <w:numPr>
          <w:ilvl w:val="0"/>
          <w:numId w:val="1000"/>
        </w:numPr>
        <w:pStyle w:val="SourceCode"/>
      </w:pPr>
      <w:r>
        <w:rPr>
          <w:rStyle w:val="VerbatimChar"/>
        </w:rPr>
        <w:t xml:space="preserve">git clone https://github.com/PavitranVC/lexfront-dfa-tokenizer.git</w:t>
      </w:r>
      <w:r>
        <w:br/>
      </w:r>
      <w:r>
        <w:rPr>
          <w:rStyle w:val="VerbatimChar"/>
        </w:rPr>
        <w:t xml:space="preserve">cd lexfront-dfa-tokenizer</w:t>
      </w:r>
      <w:r>
        <w:br/>
      </w:r>
      <w:r>
        <w:rPr>
          <w:rStyle w:val="VerbatimChar"/>
        </w:rPr>
        <w:t xml:space="preserve">git checkout claude/upbeat-feynman-itf5yi</w:t>
      </w:r>
    </w:p>
    <w:p>
      <w:pPr>
        <w:numPr>
          <w:ilvl w:val="0"/>
          <w:numId w:val="1003"/>
        </w:numPr>
      </w:pPr>
      <w:r>
        <w:t xml:space="preserve">Create a clean environment and install the packages:</w:t>
      </w:r>
    </w:p>
    <w:p>
      <w:pPr>
        <w:numPr>
          <w:ilvl w:val="0"/>
          <w:numId w:val="1000"/>
        </w:numPr>
        <w:pStyle w:val="SourceCode"/>
      </w:pPr>
      <w:r>
        <w:rPr>
          <w:rStyle w:val="VerbatimChar"/>
        </w:rPr>
        <w:t xml:space="preserve">python -m venv .venv</w:t>
      </w:r>
      <w:r>
        <w:br/>
      </w:r>
      <w:r>
        <w:rPr>
          <w:rStyle w:val="VerbatimChar"/>
        </w:rPr>
        <w:t xml:space="preserve">source .venv/bin/activate          # Windows: .venv\Scripts\activate</w:t>
      </w:r>
      <w:r>
        <w:br/>
      </w:r>
      <w:r>
        <w:rPr>
          <w:rStyle w:val="VerbatimChar"/>
        </w:rPr>
        <w:t xml:space="preserve">pip install -r requirements.txt</w:t>
      </w:r>
      <w:r>
        <w:br/>
      </w:r>
      <w:r>
        <w:rPr>
          <w:rStyle w:val="VerbatimChar"/>
        </w:rPr>
        <w:t xml:space="preserve">python -c "import nltk; [nltk.download(p) for p in ('punkt','punkt_tab','stopwords')]"</w:t>
      </w:r>
    </w:p>
    <w:p>
      <w:pPr>
        <w:numPr>
          <w:ilvl w:val="0"/>
          <w:numId w:val="1000"/>
        </w:numPr>
      </w:pPr>
      <w:r>
        <w:t xml:space="preserve">The NLTK download is required. Without it the tests that use NLTK fail with a</w:t>
      </w:r>
      <w:r>
        <w:t xml:space="preserve"> </w:t>
      </w:r>
      <w:r>
        <w:rPr>
          <w:rStyle w:val="VerbatimChar"/>
        </w:rPr>
        <w:t xml:space="preserve">LookupError</w:t>
      </w:r>
      <w:r>
        <w:t xml:space="preserve">.</w:t>
      </w:r>
    </w:p>
    <w:p>
      <w:pPr>
        <w:numPr>
          <w:ilvl w:val="0"/>
          <w:numId w:val="1003"/>
        </w:numPr>
      </w:pPr>
      <w:r>
        <w:t xml:space="preserve">For the DFA picture, install Graphviz so the</w:t>
      </w:r>
      <w:r>
        <w:t xml:space="preserve"> </w:t>
      </w:r>
      <w:r>
        <w:rPr>
          <w:rStyle w:val="VerbatimChar"/>
        </w:rPr>
        <w:t xml:space="preserve">dot</w:t>
      </w:r>
      <w:r>
        <w:t xml:space="preserve"> </w:t>
      </w:r>
      <w:r>
        <w:t xml:space="preserve">command exists (Ubuntu:</w:t>
      </w:r>
      <w:r>
        <w:t xml:space="preserve"> </w:t>
      </w:r>
      <w:r>
        <w:rPr>
          <w:rStyle w:val="VerbatimChar"/>
        </w:rPr>
        <w:t xml:space="preserve">sudo apt install graphviz</w:t>
      </w:r>
      <w:r>
        <w:t xml:space="preserve">; Mac:</w:t>
      </w:r>
      <w:r>
        <w:t xml:space="preserve"> </w:t>
      </w:r>
      <w:r>
        <w:rPr>
          <w:rStyle w:val="VerbatimChar"/>
        </w:rPr>
        <w:t xml:space="preserve">brew install graphviz</w:t>
      </w:r>
      <w:r>
        <w:t xml:space="preserve">; Windows: installer from graphviz.org, then tick "add to PATH"). Check with</w:t>
      </w:r>
      <w:r>
        <w:t xml:space="preserve"> </w:t>
      </w:r>
      <w:r>
        <w:rPr>
          <w:rStyle w:val="VerbatimChar"/>
        </w:rPr>
        <w:t xml:space="preserve">dot -V</w:t>
      </w:r>
      <w:r>
        <w:t xml:space="preserve">.</w:t>
      </w:r>
    </w:p>
    <w:p>
      <w:pPr>
        <w:numPr>
          <w:ilvl w:val="0"/>
          <w:numId w:val="1003"/>
        </w:numPr>
      </w:pPr>
      <w:r>
        <w:t xml:space="preserve">Screenshot tools: Windows</w:t>
      </w:r>
      <w:r>
        <w:t xml:space="preserve"> </w:t>
      </w:r>
      <w:r>
        <w:rPr>
          <w:rStyle w:val="VerbatimChar"/>
        </w:rPr>
        <w:t xml:space="preserve">Win+Shift+S</w:t>
      </w:r>
      <w:r>
        <w:t xml:space="preserve">, Mac</w:t>
      </w:r>
      <w:r>
        <w:t xml:space="preserve"> </w:t>
      </w:r>
      <w:r>
        <w:rPr>
          <w:rStyle w:val="VerbatimChar"/>
        </w:rPr>
        <w:t xml:space="preserve">Cmd+Shift+4</w:t>
      </w:r>
      <w:r>
        <w:t xml:space="preserve">, Linux</w:t>
      </w:r>
      <w:r>
        <w:t xml:space="preserve"> </w:t>
      </w:r>
      <w:r>
        <w:rPr>
          <w:rStyle w:val="VerbatimChar"/>
        </w:rPr>
        <w:t xml:space="preserve">PrtSc</w:t>
      </w:r>
      <w:r>
        <w:t xml:space="preserve"> </w:t>
      </w:r>
      <w:r>
        <w:t xml:space="preserve">or Flameshot. Set the terminal font to a readable size (about 14 pt) and use a light theme so it prints well.</w:t>
      </w:r>
    </w:p>
    <w:p>
      <w:pPr>
        <w:pStyle w:val="FirstParagraph"/>
      </w:pPr>
      <w:r>
        <w:t xml:space="preserve">Before every screenshot: crop to the relevant part, and make sure no email address, token or personal folder name is visible.</w:t>
      </w:r>
    </w:p>
    <w:bookmarkEnd w:id="21"/>
    <w:bookmarkStart w:id="22" w:name="Xdbe90f3ca079247eadf155703f30e7842d90a6f"/>
    <w:p>
      <w:pPr>
        <w:pStyle w:val="Heading2"/>
      </w:pPr>
      <w:r>
        <w:t xml:space="preserve">A.2 Important: the notebook has a quick mode with different numbers</w:t>
      </w:r>
    </w:p>
    <w:p>
      <w:pPr>
        <w:pStyle w:val="FirstParagraph"/>
      </w:pPr>
      <w:r>
        <w:t xml:space="preserve">The Colab notebook starts with</w:t>
      </w:r>
      <w:r>
        <w:t xml:space="preserve"> </w:t>
      </w:r>
      <w:r>
        <w:rPr>
          <w:rStyle w:val="VerbatimChar"/>
        </w:rPr>
        <w:t xml:space="preserve">QUICK_MODE = True</w:t>
      </w:r>
      <w:r>
        <w:t xml:space="preserve">. That uses a small fixed subsample (2,000 train and 500 test documents per dataset) and writes to</w:t>
      </w:r>
      <w:r>
        <w:t xml:space="preserve"> </w:t>
      </w:r>
      <w:r>
        <w:rPr>
          <w:rStyle w:val="VerbatimChar"/>
        </w:rPr>
        <w:t xml:space="preserve">results/quick/</w:t>
      </w:r>
      <w:r>
        <w:t xml:space="preserve">. Its numbers are</w:t>
      </w:r>
      <w:r>
        <w:t xml:space="preserve"> </w:t>
      </w:r>
      <w:r>
        <w:rPr>
          <w:bCs/>
          <w:b/>
        </w:rPr>
        <w:t xml:space="preserve">not</w:t>
      </w:r>
      <w:r>
        <w:t xml:space="preserve"> </w:t>
      </w:r>
      <w:r>
        <w:t xml:space="preserve">the report's numbers.</w:t>
      </w:r>
    </w:p>
    <w:p>
      <w:pPr>
        <w:pStyle w:val="BodyText"/>
      </w:pPr>
      <w:r>
        <w:t xml:space="preserve">You have two safe options for notebook screenshots:</w:t>
      </w:r>
    </w:p>
    <w:p>
      <w:pPr>
        <w:numPr>
          <w:ilvl w:val="0"/>
          <w:numId w:val="1004"/>
        </w:numPr>
        <w:pStyle w:val="Compact"/>
      </w:pPr>
      <w:r>
        <w:rPr>
          <w:bCs/>
          <w:b/>
        </w:rPr>
        <w:t xml:space="preserve">Option 1 (recommended):</w:t>
      </w:r>
      <w:r>
        <w:t xml:space="preserve"> </w:t>
      </w:r>
      <w:r>
        <w:t xml:space="preserve">run the notebook in quick mode, and for any screenshot that shows accuracy or macro-F1, use the last cell, "Appendix, committed full-data results". It prints the full-data tables from</w:t>
      </w:r>
      <w:r>
        <w:t xml:space="preserve"> </w:t>
      </w:r>
      <w:r>
        <w:rPr>
          <w:rStyle w:val="VerbatimChar"/>
        </w:rPr>
        <w:t xml:space="preserve">results/</w:t>
      </w:r>
      <w:r>
        <w:t xml:space="preserve">, which match the report.</w:t>
      </w:r>
    </w:p>
    <w:p>
      <w:pPr>
        <w:numPr>
          <w:ilvl w:val="0"/>
          <w:numId w:val="1004"/>
        </w:numPr>
        <w:pStyle w:val="Compact"/>
      </w:pPr>
      <w:r>
        <w:rPr>
          <w:bCs/>
          <w:b/>
        </w:rPr>
        <w:t xml:space="preserve">Option 2:</w:t>
      </w:r>
      <w:r>
        <w:t xml:space="preserve"> </w:t>
      </w:r>
      <w:r>
        <w:t xml:space="preserve">set</w:t>
      </w:r>
      <w:r>
        <w:t xml:space="preserve"> </w:t>
      </w:r>
      <w:r>
        <w:rPr>
          <w:rStyle w:val="VerbatimChar"/>
        </w:rPr>
        <w:t xml:space="preserve">QUICK_MODE = False</w:t>
      </w:r>
      <w:r>
        <w:t xml:space="preserve"> </w:t>
      </w:r>
      <w:r>
        <w:t xml:space="preserve">and run everything. This reproduces the full results but is slow, because AG News has a large training set. Use it only if you have time.</w:t>
      </w:r>
    </w:p>
    <w:p>
      <w:pPr>
        <w:pStyle w:val="FirstParagraph"/>
      </w:pPr>
      <w:r>
        <w:t xml:space="preserve">If you do paste a quick-mode screenshot, put this in its caption: "Quick mode (fixed-seed subsample); numbers differ from Tables 4 to 9, which use the full data."</w:t>
      </w:r>
    </w:p>
    <w:bookmarkEnd w:id="22"/>
    <w:bookmarkStart w:id="23" w:name="a.3-the-screenshot-list"/>
    <w:p>
      <w:pPr>
        <w:pStyle w:val="Heading2"/>
      </w:pPr>
      <w:r>
        <w:t xml:space="preserve">A.3 The screenshot list</w:t>
      </w:r>
    </w:p>
    <w:p>
      <w:pPr>
        <w:pStyle w:val="FirstParagraph"/>
      </w:pPr>
      <w:r>
        <w:t xml:space="preserve">IDs are used below. "Where" refers to sections of the current report.</w:t>
      </w:r>
    </w:p>
    <w:tbl>
      <w:tblPr>
        <w:tblStyle w:val="Table"/>
        <w:tblW w:type="pct" w:w="5000"/>
        <w:jc w:val="center"/>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76"/>
        <w:gridCol w:w="4176"/>
        <w:gridCol w:w="3168"/>
      </w:tblGrid>
      <w:tr>
        <w:trPr>
          <w:tblHeader w:val="true"/>
          <w:cantSplit/>
          <w:tblHeader/>
        </w:trPr>
        <w:tc>
          <w:tcPr>
            <w:shd w:val="clear" w:color="auto" w:fill="E7E6E6"/>
          </w:tcPr>
          <w:p>
            <w:pPr>
              <w:pStyle w:val="Compact"/>
              <w:spacing w:after="20" w:before="20"/>
              <w:jc w:val="left"/>
            </w:pPr>
            <w:r>
              <w:rPr>
                <w:b/>
                <w:sz w:val="16"/>
              </w:rPr>
              <w:t xml:space="preserve">ID</w:t>
            </w:r>
          </w:p>
        </w:tc>
        <w:tc>
          <w:tcPr>
            <w:shd w:val="clear" w:color="auto" w:fill="E7E6E6"/>
          </w:tcPr>
          <w:p>
            <w:pPr>
              <w:pStyle w:val="Compact"/>
              <w:spacing w:after="20" w:before="20"/>
              <w:jc w:val="left"/>
            </w:pPr>
            <w:r>
              <w:rPr>
                <w:b/>
                <w:sz w:val="16"/>
              </w:rPr>
              <w:t xml:space="preserve">What to capture</w:t>
            </w:r>
          </w:p>
        </w:tc>
        <w:tc>
          <w:tcPr>
            <w:shd w:val="clear" w:color="auto" w:fill="E7E6E6"/>
          </w:tcPr>
          <w:p>
            <w:pPr>
              <w:pStyle w:val="Compact"/>
              <w:spacing w:after="20" w:before="20"/>
              <w:jc w:val="left"/>
            </w:pPr>
            <w:r>
              <w:rPr>
                <w:b/>
                <w:sz w:val="16"/>
              </w:rPr>
              <w:t xml:space="preserve">Where it goes</w:t>
            </w:r>
          </w:p>
        </w:tc>
      </w:tr>
      <w:tr>
        <w:trPr>
          <w:cantSplit/>
        </w:trPr>
        <w:tc>
          <w:tcPr/>
          <w:p>
            <w:pPr>
              <w:pStyle w:val="Compact"/>
              <w:spacing w:after="20" w:before="20"/>
              <w:jc w:val="left"/>
            </w:pPr>
            <w:r>
              <w:rPr>
                <w:sz w:val="16"/>
              </w:rPr>
              <w:t xml:space="preserve">S1</w:t>
            </w:r>
          </w:p>
        </w:tc>
        <w:tc>
          <w:tcPr/>
          <w:p>
            <w:pPr>
              <w:pStyle w:val="Compact"/>
              <w:spacing w:after="20" w:before="20"/>
              <w:jc w:val="left"/>
            </w:pPr>
            <w:r>
              <w:rPr>
                <w:sz w:val="16"/>
              </w:rPr>
              <w:t xml:space="preserve">Repository file tree</w:t>
            </w:r>
          </w:p>
        </w:tc>
        <w:tc>
          <w:tcPr/>
          <w:p>
            <w:pPr>
              <w:pStyle w:val="Compact"/>
              <w:spacing w:after="20" w:before="20"/>
              <w:jc w:val="left"/>
            </w:pPr>
            <w:r>
              <w:rPr>
                <w:sz w:val="16"/>
              </w:rPr>
              <w:t xml:space="preserve">Section 3 or Appendix</w:t>
            </w:r>
          </w:p>
        </w:tc>
      </w:tr>
      <w:tr>
        <w:trPr>
          <w:cantSplit/>
        </w:trPr>
        <w:tc>
          <w:tcPr/>
          <w:p>
            <w:pPr>
              <w:pStyle w:val="Compact"/>
              <w:spacing w:after="20" w:before="20"/>
              <w:jc w:val="left"/>
            </w:pPr>
            <w:r>
              <w:rPr>
                <w:sz w:val="16"/>
              </w:rPr>
              <w:t xml:space="preserve">S2</w:t>
            </w:r>
          </w:p>
        </w:tc>
        <w:tc>
          <w:tcPr/>
          <w:p>
            <w:pPr>
              <w:pStyle w:val="Compact"/>
              <w:spacing w:after="20" w:before="20"/>
              <w:jc w:val="left"/>
            </w:pPr>
            <w:r>
              <w:rPr>
                <w:rStyle w:val="VerbatimChar"/>
                <w:sz w:val="16"/>
              </w:rPr>
              <w:t xml:space="preserve">pytest -q</w:t>
            </w:r>
            <w:r>
              <w:rPr>
                <w:sz w:val="16"/>
              </w:rPr>
              <w:t xml:space="preserve"> </w:t>
            </w:r>
            <w:r>
              <w:rPr>
                <w:sz w:val="16"/>
              </w:rPr>
              <w:t xml:space="preserve">passing</w:t>
            </w:r>
          </w:p>
        </w:tc>
        <w:tc>
          <w:tcPr/>
          <w:p>
            <w:pPr>
              <w:pStyle w:val="Compact"/>
              <w:spacing w:after="20" w:before="20"/>
              <w:jc w:val="left"/>
            </w:pPr>
            <w:r>
              <w:rPr>
                <w:sz w:val="16"/>
              </w:rPr>
              <w:t xml:space="preserve">Section 3.2 or Appendix</w:t>
            </w:r>
          </w:p>
        </w:tc>
      </w:tr>
      <w:tr>
        <w:trPr>
          <w:cantSplit/>
        </w:trPr>
        <w:tc>
          <w:tcPr/>
          <w:p>
            <w:pPr>
              <w:pStyle w:val="Compact"/>
              <w:spacing w:after="20" w:before="20"/>
              <w:jc w:val="left"/>
            </w:pPr>
            <w:r>
              <w:rPr>
                <w:sz w:val="16"/>
              </w:rPr>
              <w:t xml:space="preserve">S3</w:t>
            </w:r>
          </w:p>
        </w:tc>
        <w:tc>
          <w:tcPr/>
          <w:p>
            <w:pPr>
              <w:pStyle w:val="Compact"/>
              <w:spacing w:after="20" w:before="20"/>
              <w:jc w:val="left"/>
            </w:pPr>
            <w:r>
              <w:rPr>
                <w:sz w:val="16"/>
              </w:rPr>
              <w:t xml:space="preserve">GitHub Actions run, green</w:t>
            </w:r>
          </w:p>
        </w:tc>
        <w:tc>
          <w:tcPr/>
          <w:p>
            <w:pPr>
              <w:pStyle w:val="Compact"/>
              <w:spacing w:after="20" w:before="20"/>
              <w:jc w:val="left"/>
            </w:pPr>
            <w:r>
              <w:rPr>
                <w:sz w:val="16"/>
              </w:rPr>
              <w:t xml:space="preserve">Appendix</w:t>
            </w:r>
          </w:p>
        </w:tc>
      </w:tr>
      <w:tr>
        <w:trPr>
          <w:cantSplit/>
        </w:trPr>
        <w:tc>
          <w:tcPr/>
          <w:p>
            <w:pPr>
              <w:pStyle w:val="Compact"/>
              <w:spacing w:after="20" w:before="20"/>
              <w:jc w:val="left"/>
            </w:pPr>
            <w:r>
              <w:rPr>
                <w:sz w:val="16"/>
              </w:rPr>
              <w:t xml:space="preserve">S4</w:t>
            </w:r>
          </w:p>
        </w:tc>
        <w:tc>
          <w:tcPr/>
          <w:p>
            <w:pPr>
              <w:pStyle w:val="Compact"/>
              <w:spacing w:after="20" w:before="20"/>
              <w:jc w:val="left"/>
            </w:pPr>
            <w:r>
              <w:rPr>
                <w:sz w:val="16"/>
              </w:rPr>
              <w:t xml:space="preserve">Console output of a Module 1 run</w:t>
            </w:r>
          </w:p>
        </w:tc>
        <w:tc>
          <w:tcPr/>
          <w:p>
            <w:pPr>
              <w:pStyle w:val="Compact"/>
              <w:spacing w:after="20" w:before="20"/>
              <w:jc w:val="left"/>
            </w:pPr>
            <w:r>
              <w:rPr>
                <w:sz w:val="16"/>
              </w:rPr>
              <w:t xml:space="preserve">Section 4.2 or Appendix</w:t>
            </w:r>
          </w:p>
        </w:tc>
      </w:tr>
      <w:tr>
        <w:trPr>
          <w:cantSplit/>
        </w:trPr>
        <w:tc>
          <w:tcPr/>
          <w:p>
            <w:pPr>
              <w:pStyle w:val="Compact"/>
              <w:spacing w:after="20" w:before="20"/>
              <w:jc w:val="left"/>
            </w:pPr>
            <w:r>
              <w:rPr>
                <w:sz w:val="16"/>
              </w:rPr>
              <w:t xml:space="preserve">S5</w:t>
            </w:r>
          </w:p>
        </w:tc>
        <w:tc>
          <w:tcPr/>
          <w:p>
            <w:pPr>
              <w:pStyle w:val="Compact"/>
              <w:spacing w:after="20" w:before="20"/>
              <w:jc w:val="left"/>
            </w:pPr>
            <w:r>
              <w:rPr>
                <w:sz w:val="16"/>
              </w:rPr>
              <w:t xml:space="preserve">One result JSON file opened</w:t>
            </w:r>
          </w:p>
        </w:tc>
        <w:tc>
          <w:tcPr/>
          <w:p>
            <w:pPr>
              <w:pStyle w:val="Compact"/>
              <w:spacing w:after="20" w:before="20"/>
              <w:jc w:val="left"/>
            </w:pPr>
            <w:r>
              <w:rPr>
                <w:sz w:val="16"/>
              </w:rPr>
              <w:t xml:space="preserve">Section 3.1 or Appendix</w:t>
            </w:r>
          </w:p>
        </w:tc>
      </w:tr>
      <w:tr>
        <w:trPr>
          <w:cantSplit/>
        </w:trPr>
        <w:tc>
          <w:tcPr/>
          <w:p>
            <w:pPr>
              <w:pStyle w:val="Compact"/>
              <w:spacing w:after="20" w:before="20"/>
              <w:jc w:val="left"/>
            </w:pPr>
            <w:r>
              <w:rPr>
                <w:sz w:val="16"/>
              </w:rPr>
              <w:t xml:space="preserve">S6</w:t>
            </w:r>
          </w:p>
        </w:tc>
        <w:tc>
          <w:tcPr/>
          <w:p>
            <w:pPr>
              <w:pStyle w:val="Compact"/>
              <w:spacing w:after="20" w:before="20"/>
              <w:jc w:val="left"/>
            </w:pPr>
            <w:r>
              <w:rPr>
                <w:sz w:val="16"/>
              </w:rPr>
              <w:t xml:space="preserve">Notebook: datasets table</w:t>
            </w:r>
          </w:p>
        </w:tc>
        <w:tc>
          <w:tcPr/>
          <w:p>
            <w:pPr>
              <w:pStyle w:val="Compact"/>
              <w:spacing w:after="20" w:before="20"/>
              <w:jc w:val="left"/>
            </w:pPr>
            <w:r>
              <w:rPr>
                <w:sz w:val="16"/>
              </w:rPr>
              <w:t xml:space="preserve">Section 4.1</w:t>
            </w:r>
          </w:p>
        </w:tc>
      </w:tr>
      <w:tr>
        <w:trPr>
          <w:cantSplit/>
        </w:trPr>
        <w:tc>
          <w:tcPr/>
          <w:p>
            <w:pPr>
              <w:pStyle w:val="Compact"/>
              <w:spacing w:after="20" w:before="20"/>
              <w:jc w:val="left"/>
            </w:pPr>
            <w:r>
              <w:rPr>
                <w:sz w:val="16"/>
              </w:rPr>
              <w:t xml:space="preserve">S7</w:t>
            </w:r>
          </w:p>
        </w:tc>
        <w:tc>
          <w:tcPr/>
          <w:p>
            <w:pPr>
              <w:pStyle w:val="Compact"/>
              <w:spacing w:after="20" w:before="20"/>
              <w:jc w:val="left"/>
            </w:pPr>
            <w:r>
              <w:rPr>
                <w:sz w:val="16"/>
              </w:rPr>
              <w:t xml:space="preserve">Notebook: Module 1 table and bar chart</w:t>
            </w:r>
          </w:p>
        </w:tc>
        <w:tc>
          <w:tcPr/>
          <w:p>
            <w:pPr>
              <w:pStyle w:val="Compact"/>
              <w:spacing w:after="20" w:before="20"/>
              <w:jc w:val="left"/>
            </w:pPr>
            <w:r>
              <w:rPr>
                <w:sz w:val="16"/>
              </w:rPr>
              <w:t xml:space="preserve">Section 4.2</w:t>
            </w:r>
          </w:p>
        </w:tc>
      </w:tr>
      <w:tr>
        <w:trPr>
          <w:cantSplit/>
        </w:trPr>
        <w:tc>
          <w:tcPr/>
          <w:p>
            <w:pPr>
              <w:pStyle w:val="Compact"/>
              <w:spacing w:after="20" w:before="20"/>
              <w:jc w:val="left"/>
            </w:pPr>
            <w:r>
              <w:rPr>
                <w:sz w:val="16"/>
              </w:rPr>
              <w:t xml:space="preserve">S8</w:t>
            </w:r>
          </w:p>
        </w:tc>
        <w:tc>
          <w:tcPr/>
          <w:p>
            <w:pPr>
              <w:pStyle w:val="Compact"/>
              <w:spacing w:after="20" w:before="20"/>
              <w:jc w:val="left"/>
            </w:pPr>
            <w:r>
              <w:rPr>
                <w:sz w:val="16"/>
              </w:rPr>
              <w:t xml:space="preserve">Notebook: side-by-side tokenizer table</w:t>
            </w:r>
          </w:p>
        </w:tc>
        <w:tc>
          <w:tcPr/>
          <w:p>
            <w:pPr>
              <w:pStyle w:val="Compact"/>
              <w:spacing w:after="20" w:before="20"/>
              <w:jc w:val="left"/>
            </w:pPr>
            <w:r>
              <w:rPr>
                <w:sz w:val="16"/>
              </w:rPr>
              <w:t xml:space="preserve">Section 4.3</w:t>
            </w:r>
          </w:p>
        </w:tc>
      </w:tr>
      <w:tr>
        <w:trPr>
          <w:cantSplit/>
        </w:trPr>
        <w:tc>
          <w:tcPr/>
          <w:p>
            <w:pPr>
              <w:pStyle w:val="Compact"/>
              <w:spacing w:after="20" w:before="20"/>
              <w:jc w:val="left"/>
            </w:pPr>
            <w:r>
              <w:rPr>
                <w:sz w:val="16"/>
              </w:rPr>
              <w:t xml:space="preserve">S9</w:t>
            </w:r>
          </w:p>
        </w:tc>
        <w:tc>
          <w:tcPr/>
          <w:p>
            <w:pPr>
              <w:pStyle w:val="Compact"/>
              <w:spacing w:after="20" w:before="20"/>
              <w:jc w:val="left"/>
            </w:pPr>
            <w:r>
              <w:rPr>
                <w:sz w:val="16"/>
              </w:rPr>
              <w:t xml:space="preserve">Notebook: LexFront token table for one tweet, and symbol table</w:t>
            </w:r>
          </w:p>
        </w:tc>
        <w:tc>
          <w:tcPr/>
          <w:p>
            <w:pPr>
              <w:pStyle w:val="Compact"/>
              <w:spacing w:after="20" w:before="20"/>
              <w:jc w:val="left"/>
            </w:pPr>
            <w:r>
              <w:rPr>
                <w:sz w:val="16"/>
              </w:rPr>
              <w:t xml:space="preserve">Section 3.2 or 4.3</w:t>
            </w:r>
          </w:p>
        </w:tc>
      </w:tr>
      <w:tr>
        <w:trPr>
          <w:cantSplit/>
        </w:trPr>
        <w:tc>
          <w:tcPr/>
          <w:p>
            <w:pPr>
              <w:pStyle w:val="Compact"/>
              <w:spacing w:after="20" w:before="20"/>
              <w:jc w:val="left"/>
            </w:pPr>
            <w:r>
              <w:rPr>
                <w:sz w:val="16"/>
              </w:rPr>
              <w:t xml:space="preserve">S10</w:t>
            </w:r>
          </w:p>
        </w:tc>
        <w:tc>
          <w:tcPr/>
          <w:p>
            <w:pPr>
              <w:pStyle w:val="Compact"/>
              <w:spacing w:after="20" w:before="20"/>
              <w:jc w:val="left"/>
            </w:pPr>
            <w:r>
              <w:rPr>
                <w:sz w:val="16"/>
              </w:rPr>
              <w:t xml:space="preserve">Notebook: DFA state table and DFA picture</w:t>
            </w:r>
          </w:p>
        </w:tc>
        <w:tc>
          <w:tcPr/>
          <w:p>
            <w:pPr>
              <w:pStyle w:val="Compact"/>
              <w:spacing w:after="20" w:before="20"/>
              <w:jc w:val="left"/>
            </w:pPr>
            <w:r>
              <w:rPr>
                <w:sz w:val="16"/>
              </w:rPr>
              <w:t xml:space="preserve">Section 4.3</w:t>
            </w:r>
          </w:p>
        </w:tc>
      </w:tr>
      <w:tr>
        <w:trPr>
          <w:cantSplit/>
        </w:trPr>
        <w:tc>
          <w:tcPr/>
          <w:p>
            <w:pPr>
              <w:pStyle w:val="Compact"/>
              <w:spacing w:after="20" w:before="20"/>
              <w:jc w:val="left"/>
            </w:pPr>
            <w:r>
              <w:rPr>
                <w:sz w:val="16"/>
              </w:rPr>
              <w:t xml:space="preserve">S11</w:t>
            </w:r>
          </w:p>
        </w:tc>
        <w:tc>
          <w:tcPr/>
          <w:p>
            <w:pPr>
              <w:pStyle w:val="Compact"/>
              <w:spacing w:after="20" w:before="20"/>
              <w:jc w:val="left"/>
            </w:pPr>
            <w:r>
              <w:rPr>
                <w:sz w:val="16"/>
              </w:rPr>
              <w:t xml:space="preserve">Notebook: scanner demo with UNKNOWN and the agreement line</w:t>
            </w:r>
          </w:p>
        </w:tc>
        <w:tc>
          <w:tcPr/>
          <w:p>
            <w:pPr>
              <w:pStyle w:val="Compact"/>
              <w:spacing w:after="20" w:before="20"/>
              <w:jc w:val="left"/>
            </w:pPr>
            <w:r>
              <w:rPr>
                <w:sz w:val="16"/>
              </w:rPr>
              <w:t xml:space="preserve">Section 4.3</w:t>
            </w:r>
          </w:p>
        </w:tc>
      </w:tr>
      <w:tr>
        <w:trPr>
          <w:cantSplit/>
        </w:trPr>
        <w:tc>
          <w:tcPr/>
          <w:p>
            <w:pPr>
              <w:pStyle w:val="Compact"/>
              <w:spacing w:after="20" w:before="20"/>
              <w:jc w:val="left"/>
            </w:pPr>
            <w:r>
              <w:rPr>
                <w:sz w:val="16"/>
              </w:rPr>
              <w:t xml:space="preserve">S12</w:t>
            </w:r>
          </w:p>
        </w:tc>
        <w:tc>
          <w:tcPr/>
          <w:p>
            <w:pPr>
              <w:pStyle w:val="Compact"/>
              <w:spacing w:after="20" w:before="20"/>
              <w:jc w:val="left"/>
            </w:pPr>
            <w:r>
              <w:rPr>
                <w:sz w:val="16"/>
              </w:rPr>
              <w:t xml:space="preserve">Notebook: intrinsic metrics table and chart</w:t>
            </w:r>
          </w:p>
        </w:tc>
        <w:tc>
          <w:tcPr/>
          <w:p>
            <w:pPr>
              <w:pStyle w:val="Compact"/>
              <w:spacing w:after="20" w:before="20"/>
              <w:jc w:val="left"/>
            </w:pPr>
            <w:r>
              <w:rPr>
                <w:sz w:val="16"/>
              </w:rPr>
              <w:t xml:space="preserve">Section 4.3</w:t>
            </w:r>
          </w:p>
        </w:tc>
      </w:tr>
      <w:tr>
        <w:trPr>
          <w:cantSplit/>
        </w:trPr>
        <w:tc>
          <w:tcPr/>
          <w:p>
            <w:pPr>
              <w:pStyle w:val="Compact"/>
              <w:spacing w:after="20" w:before="20"/>
              <w:jc w:val="left"/>
            </w:pPr>
            <w:r>
              <w:rPr>
                <w:sz w:val="16"/>
              </w:rPr>
              <w:t xml:space="preserve">S13</w:t>
            </w:r>
          </w:p>
        </w:tc>
        <w:tc>
          <w:tcPr/>
          <w:p>
            <w:pPr>
              <w:pStyle w:val="Compact"/>
              <w:spacing w:after="20" w:before="20"/>
              <w:jc w:val="left"/>
            </w:pPr>
            <w:r>
              <w:rPr>
                <w:sz w:val="16"/>
              </w:rPr>
              <w:t xml:space="preserve">Notebook: existing vs proposed table and chart</w:t>
            </w:r>
          </w:p>
        </w:tc>
        <w:tc>
          <w:tcPr/>
          <w:p>
            <w:pPr>
              <w:pStyle w:val="Compact"/>
              <w:spacing w:after="20" w:before="20"/>
              <w:jc w:val="left"/>
            </w:pPr>
            <w:r>
              <w:rPr>
                <w:sz w:val="16"/>
              </w:rPr>
              <w:t xml:space="preserve">Section 5.1</w:t>
            </w:r>
          </w:p>
        </w:tc>
      </w:tr>
      <w:tr>
        <w:trPr>
          <w:cantSplit/>
        </w:trPr>
        <w:tc>
          <w:tcPr/>
          <w:p>
            <w:pPr>
              <w:pStyle w:val="Compact"/>
              <w:spacing w:after="20" w:before="20"/>
              <w:jc w:val="left"/>
            </w:pPr>
            <w:r>
              <w:rPr>
                <w:sz w:val="16"/>
              </w:rPr>
              <w:t xml:space="preserve">S14</w:t>
            </w:r>
          </w:p>
        </w:tc>
        <w:tc>
          <w:tcPr/>
          <w:p>
            <w:pPr>
              <w:pStyle w:val="Compact"/>
              <w:spacing w:after="20" w:before="20"/>
              <w:jc w:val="left"/>
            </w:pPr>
            <w:r>
              <w:rPr>
                <w:sz w:val="16"/>
              </w:rPr>
              <w:t xml:space="preserve">CHANGELOG and</w:t>
            </w:r>
            <w:r>
              <w:rPr>
                <w:sz w:val="16"/>
              </w:rPr>
              <w:t xml:space="preserve"> </w:t>
            </w:r>
            <w:r>
              <w:rPr>
                <w:rStyle w:val="VerbatimChar"/>
                <w:sz w:val="16"/>
              </w:rPr>
              <w:t xml:space="preserve">git log</w:t>
            </w:r>
          </w:p>
        </w:tc>
        <w:tc>
          <w:tcPr/>
          <w:p>
            <w:pPr>
              <w:pStyle w:val="Compact"/>
              <w:spacing w:after="20" w:before="20"/>
              <w:jc w:val="left"/>
            </w:pPr>
            <w:r>
              <w:rPr>
                <w:sz w:val="16"/>
              </w:rPr>
              <w:t xml:space="preserve">Appendix</w:t>
            </w:r>
          </w:p>
        </w:tc>
      </w:tr>
    </w:tbl>
    <w:p>
      <w:pPr>
        <w:spacing w:before="0" w:after="60" w:line="120" w:lineRule="exact"/>
      </w:pPr>
    </w:p>
    <w:p>
      <w:pPr>
        <w:pStyle w:val="BodyText"/>
      </w:pPr>
      <w:r>
        <w:t xml:space="preserve">You do not need all of them. The report is complete without any screenshots. Use S2, S5, S10, S11 and S13 if you want to keep it short, because they show testing, reproducibility, the DFA and the main result.</w:t>
      </w:r>
    </w:p>
    <w:bookmarkEnd w:id="23"/>
    <w:bookmarkStart w:id="31" w:name="a.4-how-to-produce-each-one"/>
    <w:p>
      <w:pPr>
        <w:pStyle w:val="Heading2"/>
      </w:pPr>
      <w:r>
        <w:t xml:space="preserve">A.4 How to produce each one</w:t>
      </w:r>
    </w:p>
    <w:bookmarkStart w:id="24" w:name="s1-repository-file-tree"/>
    <w:p>
      <w:pPr>
        <w:pStyle w:val="Heading3"/>
      </w:pPr>
      <w:r>
        <w:t xml:space="preserve">S1: Repository file tree</w:t>
      </w:r>
    </w:p>
    <w:p>
      <w:pPr>
        <w:numPr>
          <w:ilvl w:val="0"/>
          <w:numId w:val="1005"/>
        </w:numPr>
        <w:pStyle w:val="Compact"/>
      </w:pPr>
      <w:r>
        <w:t xml:space="preserve">In the repo folder run</w:t>
      </w:r>
      <w:r>
        <w:t xml:space="preserve"> </w:t>
      </w:r>
      <w:r>
        <w:rPr>
          <w:rStyle w:val="VerbatimChar"/>
        </w:rPr>
        <w:t xml:space="preserve">ls</w:t>
      </w:r>
      <w:r>
        <w:t xml:space="preserve"> </w:t>
      </w:r>
      <w:r>
        <w:t xml:space="preserve">(or</w:t>
      </w:r>
      <w:r>
        <w:t xml:space="preserve"> </w:t>
      </w:r>
      <w:r>
        <w:rPr>
          <w:rStyle w:val="VerbatimChar"/>
        </w:rPr>
        <w:t xml:space="preserve">tree -L 2 -I '.venv|.git'</w:t>
      </w:r>
      <w:r>
        <w:t xml:space="preserve"> </w:t>
      </w:r>
      <w:r>
        <w:t xml:space="preserve">if</w:t>
      </w:r>
      <w:r>
        <w:t xml:space="preserve"> </w:t>
      </w:r>
      <w:r>
        <w:rPr>
          <w:rStyle w:val="VerbatimChar"/>
        </w:rPr>
        <w:t xml:space="preserve">tree</w:t>
      </w:r>
      <w:r>
        <w:t xml:space="preserve"> </w:t>
      </w:r>
      <w:r>
        <w:t xml:space="preserve">is installed).</w:t>
      </w:r>
    </w:p>
    <w:p>
      <w:pPr>
        <w:numPr>
          <w:ilvl w:val="0"/>
          <w:numId w:val="1005"/>
        </w:numPr>
        <w:pStyle w:val="Compact"/>
      </w:pPr>
      <w:r>
        <w:t xml:space="preserve">Capture the output. It should show</w:t>
      </w:r>
      <w:r>
        <w:t xml:space="preserve"> </w:t>
      </w:r>
      <w:r>
        <w:rPr>
          <w:rStyle w:val="VerbatimChar"/>
        </w:rPr>
        <w:t xml:space="preserve">lexer/</w:t>
      </w:r>
      <w:r>
        <w:t xml:space="preserve">,</w:t>
      </w:r>
      <w:r>
        <w:t xml:space="preserve"> </w:t>
      </w:r>
      <w:r>
        <w:rPr>
          <w:rStyle w:val="VerbatimChar"/>
        </w:rPr>
        <w:t xml:space="preserve">experiments/</w:t>
      </w:r>
      <w:r>
        <w:t xml:space="preserve">,</w:t>
      </w:r>
      <w:r>
        <w:t xml:space="preserve"> </w:t>
      </w:r>
      <w:r>
        <w:rPr>
          <w:rStyle w:val="VerbatimChar"/>
        </w:rPr>
        <w:t xml:space="preserve">tests/</w:t>
      </w:r>
      <w:r>
        <w:t xml:space="preserve">,</w:t>
      </w:r>
      <w:r>
        <w:t xml:space="preserve"> </w:t>
      </w:r>
      <w:r>
        <w:rPr>
          <w:rStyle w:val="VerbatimChar"/>
        </w:rPr>
        <w:t xml:space="preserve">results/</w:t>
      </w:r>
      <w:r>
        <w:t xml:space="preserve">,</w:t>
      </w:r>
      <w:r>
        <w:t xml:space="preserve"> </w:t>
      </w:r>
      <w:r>
        <w:rPr>
          <w:rStyle w:val="VerbatimChar"/>
        </w:rPr>
        <w:t xml:space="preserve">notebooks/</w:t>
      </w:r>
      <w:r>
        <w:t xml:space="preserve">,</w:t>
      </w:r>
      <w:r>
        <w:t xml:space="preserve"> </w:t>
      </w:r>
      <w:r>
        <w:rPr>
          <w:rStyle w:val="VerbatimChar"/>
        </w:rPr>
        <w:t xml:space="preserve">docs/</w:t>
      </w:r>
      <w:r>
        <w:t xml:space="preserve">,</w:t>
      </w:r>
      <w:r>
        <w:t xml:space="preserve"> </w:t>
      </w:r>
      <w:r>
        <w:rPr>
          <w:rStyle w:val="VerbatimChar"/>
        </w:rPr>
        <w:t xml:space="preserve">report/</w:t>
      </w:r>
      <w:r>
        <w:t xml:space="preserve">.</w:t>
      </w:r>
    </w:p>
    <w:bookmarkEnd w:id="24"/>
    <w:bookmarkStart w:id="25" w:name="s2-tests-passing"/>
    <w:p>
      <w:pPr>
        <w:pStyle w:val="Heading3"/>
      </w:pPr>
      <w:r>
        <w:t xml:space="preserve">S2: Tests passing</w:t>
      </w:r>
    </w:p>
    <w:p>
      <w:pPr>
        <w:numPr>
          <w:ilvl w:val="0"/>
          <w:numId w:val="1006"/>
        </w:numPr>
      </w:pPr>
      <w:r>
        <w:t xml:space="preserve">Activate the environment and run:</w:t>
      </w:r>
    </w:p>
    <w:p>
      <w:pPr>
        <w:numPr>
          <w:ilvl w:val="0"/>
          <w:numId w:val="1000"/>
        </w:numPr>
        <w:pStyle w:val="SourceCode"/>
      </w:pPr>
      <w:r>
        <w:rPr>
          <w:rStyle w:val="VerbatimChar"/>
        </w:rPr>
        <w:t xml:space="preserve">pytest -q</w:t>
      </w:r>
    </w:p>
    <w:p>
      <w:pPr>
        <w:numPr>
          <w:ilvl w:val="0"/>
          <w:numId w:val="1006"/>
        </w:numPr>
      </w:pPr>
      <w:r>
        <w:t xml:space="preserve">Wait for the final line, for example "N passed in X s". Capture the whole terminal, with that last line visible.</w:t>
      </w:r>
    </w:p>
    <w:p>
      <w:pPr>
        <w:numPr>
          <w:ilvl w:val="0"/>
          <w:numId w:val="1006"/>
        </w:numPr>
      </w:pPr>
      <w:r>
        <w:t xml:space="preserve">The changelog records 99 tests from a clean clone. Your own count is what to report. If any test fails, fix the cause first (usually the missing NLTK data from A.1) and do not paste a failing run.</w:t>
      </w:r>
    </w:p>
    <w:bookmarkEnd w:id="25"/>
    <w:bookmarkStart w:id="26" w:name="s3-ci-green-on-github"/>
    <w:p>
      <w:pPr>
        <w:pStyle w:val="Heading3"/>
      </w:pPr>
      <w:r>
        <w:t xml:space="preserve">S3: CI green on GitHub</w:t>
      </w:r>
    </w:p>
    <w:p>
      <w:pPr>
        <w:numPr>
          <w:ilvl w:val="0"/>
          <w:numId w:val="1007"/>
        </w:numPr>
        <w:pStyle w:val="Compact"/>
      </w:pPr>
      <w:r>
        <w:t xml:space="preserve">Open the repo on GitHub, click the</w:t>
      </w:r>
      <w:r>
        <w:t xml:space="preserve"> </w:t>
      </w:r>
      <w:r>
        <w:rPr>
          <w:bCs/>
          <w:b/>
        </w:rPr>
        <w:t xml:space="preserve">Actions</w:t>
      </w:r>
      <w:r>
        <w:t xml:space="preserve"> </w:t>
      </w:r>
      <w:r>
        <w:t xml:space="preserve">tab.</w:t>
      </w:r>
    </w:p>
    <w:p>
      <w:pPr>
        <w:numPr>
          <w:ilvl w:val="0"/>
          <w:numId w:val="1007"/>
        </w:numPr>
        <w:pStyle w:val="Compact"/>
      </w:pPr>
      <w:r>
        <w:t xml:space="preserve">Open the latest run on</w:t>
      </w:r>
      <w:r>
        <w:t xml:space="preserve"> </w:t>
      </w:r>
      <w:r>
        <w:rPr>
          <w:rStyle w:val="VerbatimChar"/>
        </w:rPr>
        <w:t xml:space="preserve">main</w:t>
      </w:r>
      <w:r>
        <w:t xml:space="preserve"> </w:t>
      </w:r>
      <w:r>
        <w:t xml:space="preserve">and capture the page showing both jobs,</w:t>
      </w:r>
      <w:r>
        <w:t xml:space="preserve"> </w:t>
      </w:r>
      <w:r>
        <w:rPr>
          <w:rStyle w:val="VerbatimChar"/>
        </w:rPr>
        <w:t xml:space="preserve">tests</w:t>
      </w:r>
      <w:r>
        <w:t xml:space="preserve"> </w:t>
      </w:r>
      <w:r>
        <w:t xml:space="preserve">and</w:t>
      </w:r>
      <w:r>
        <w:t xml:space="preserve"> </w:t>
      </w:r>
      <w:r>
        <w:rPr>
          <w:rStyle w:val="VerbatimChar"/>
        </w:rPr>
        <w:t xml:space="preserve">notebook</w:t>
      </w:r>
      <w:r>
        <w:t xml:space="preserve">, with green ticks.</w:t>
      </w:r>
    </w:p>
    <w:bookmarkEnd w:id="26"/>
    <w:bookmarkStart w:id="27" w:name="s4-console-output-of-a-module-1-run"/>
    <w:p>
      <w:pPr>
        <w:pStyle w:val="Heading3"/>
      </w:pPr>
      <w:r>
        <w:t xml:space="preserve">S4: Console output of a Module 1 run</w:t>
      </w:r>
    </w:p>
    <w:p>
      <w:pPr>
        <w:pStyle w:val="FirstParagraph"/>
      </w:pPr>
      <w:r>
        <w:t xml:space="preserve">The committed results already exist, so a normal run skips them and prints nothing useful. Write to a scratch folder instead, so the committed</w:t>
      </w:r>
      <w:r>
        <w:t xml:space="preserve"> </w:t>
      </w:r>
      <w:r>
        <w:rPr>
          <w:rStyle w:val="VerbatimChar"/>
        </w:rPr>
        <w:t xml:space="preserve">results/</w:t>
      </w:r>
      <w:r>
        <w:t xml:space="preserve"> </w:t>
      </w:r>
      <w:r>
        <w:t xml:space="preserve">is not touched:</w:t>
      </w:r>
    </w:p>
    <w:p>
      <w:pPr>
        <w:numPr>
          <w:ilvl w:val="0"/>
          <w:numId w:val="1008"/>
        </w:numPr>
      </w:pPr>
      <w:r>
        <w:t xml:space="preserve">Run:</w:t>
      </w:r>
    </w:p>
    <w:p>
      <w:pPr>
        <w:numPr>
          <w:ilvl w:val="0"/>
          <w:numId w:val="1000"/>
        </w:numPr>
        <w:pStyle w:val="SourceCode"/>
      </w:pPr>
      <w:r>
        <w:rPr>
          <w:rStyle w:val="VerbatimChar"/>
        </w:rPr>
        <w:t xml:space="preserve">python -m experiments.run_module1 --datasets ag_news --max-train 2000 --max-test 500 --out results/scratch_demo</w:t>
      </w:r>
    </w:p>
    <w:p>
      <w:pPr>
        <w:numPr>
          <w:ilvl w:val="0"/>
          <w:numId w:val="1008"/>
        </w:numPr>
      </w:pPr>
      <w:r>
        <w:t xml:space="preserve">You will see one line per run, such as the dataset, the tokenizer, the classifier and its accuracy and macro-F1. Capture them.</w:t>
      </w:r>
    </w:p>
    <w:p>
      <w:pPr>
        <w:numPr>
          <w:ilvl w:val="0"/>
          <w:numId w:val="1008"/>
        </w:numPr>
      </w:pPr>
      <w:r>
        <w:t xml:space="preserve">Caption it as a demonstration on a subsample. Afterwards delete the scratch folder (</w:t>
      </w:r>
      <w:r>
        <w:rPr>
          <w:rStyle w:val="VerbatimChar"/>
        </w:rPr>
        <w:t xml:space="preserve">rm -r results/scratch_demo</w:t>
      </w:r>
      <w:r>
        <w:t xml:space="preserve">) and do not commit it.</w:t>
      </w:r>
    </w:p>
    <w:bookmarkEnd w:id="27"/>
    <w:bookmarkStart w:id="28" w:name="s5-a-result-json-file"/>
    <w:p>
      <w:pPr>
        <w:pStyle w:val="Heading3"/>
      </w:pPr>
      <w:r>
        <w:t xml:space="preserve">S5: A result JSON file</w:t>
      </w:r>
    </w:p>
    <w:p>
      <w:pPr>
        <w:numPr>
          <w:ilvl w:val="0"/>
          <w:numId w:val="1009"/>
        </w:numPr>
        <w:pStyle w:val="Compact"/>
      </w:pPr>
      <w:r>
        <w:t xml:space="preserve">Open</w:t>
      </w:r>
      <w:r>
        <w:t xml:space="preserve"> </w:t>
      </w:r>
      <w:r>
        <w:rPr>
          <w:rStyle w:val="VerbatimChar"/>
        </w:rPr>
        <w:t xml:space="preserve">results/module1/tweet_topic__nltk__nb.json</w:t>
      </w:r>
      <w:r>
        <w:t xml:space="preserve"> </w:t>
      </w:r>
      <w:r>
        <w:t xml:space="preserve">in any editor.</w:t>
      </w:r>
    </w:p>
    <w:p>
      <w:pPr>
        <w:numPr>
          <w:ilvl w:val="0"/>
          <w:numId w:val="1009"/>
        </w:numPr>
        <w:pStyle w:val="Compact"/>
      </w:pPr>
      <w:r>
        <w:t xml:space="preserve">Capture the top part. It shows the dataset and split, vectorizer settings, classifier, seed, metrics and library versions. This is your evidence that each run is recorded with its full configuration.</w:t>
      </w:r>
    </w:p>
    <w:bookmarkEnd w:id="28"/>
    <w:bookmarkStart w:id="29" w:name="s6-to-s13-notebook-screenshots"/>
    <w:p>
      <w:pPr>
        <w:pStyle w:val="Heading3"/>
      </w:pPr>
      <w:r>
        <w:t xml:space="preserve">S6 to S13: Notebook screenshots</w:t>
      </w:r>
    </w:p>
    <w:p>
      <w:pPr>
        <w:numPr>
          <w:ilvl w:val="0"/>
          <w:numId w:val="1010"/>
        </w:numPr>
        <w:pStyle w:val="Compact"/>
      </w:pPr>
      <w:r>
        <w:t xml:space="preserve">Open the notebook from the Colab badge at the top of</w:t>
      </w:r>
      <w:r>
        <w:t xml:space="preserve"> </w:t>
      </w:r>
      <w:r>
        <w:rPr>
          <w:rStyle w:val="VerbatimChar"/>
        </w:rPr>
        <w:t xml:space="preserve">README.md</w:t>
      </w:r>
      <w:r>
        <w:t xml:space="preserve">, or upload</w:t>
      </w:r>
      <w:r>
        <w:t xml:space="preserve"> </w:t>
      </w:r>
      <w:r>
        <w:rPr>
          <w:rStyle w:val="VerbatimChar"/>
        </w:rPr>
        <w:t xml:space="preserve">notebooks/LexFront_Review1.ipynb</w:t>
      </w:r>
      <w:r>
        <w:t xml:space="preserve"> </w:t>
      </w:r>
      <w:r>
        <w:t xml:space="preserve">to Colab.</w:t>
      </w:r>
    </w:p>
    <w:p>
      <w:pPr>
        <w:numPr>
          <w:ilvl w:val="0"/>
          <w:numId w:val="1010"/>
        </w:numPr>
        <w:pStyle w:val="Compact"/>
      </w:pPr>
      <w:r>
        <w:t xml:space="preserve">Choose</w:t>
      </w:r>
      <w:r>
        <w:t xml:space="preserve"> </w:t>
      </w:r>
      <w:r>
        <w:rPr>
          <w:bCs/>
          <w:b/>
        </w:rPr>
        <w:t xml:space="preserve">Runtime, Run all</w:t>
      </w:r>
      <w:r>
        <w:t xml:space="preserve">. The first cell installs the packages and downloads the NLTK data. If Colab asks you to restart the runtime, do so and run all again.</w:t>
      </w:r>
    </w:p>
    <w:p>
      <w:pPr>
        <w:numPr>
          <w:ilvl w:val="0"/>
          <w:numId w:val="1010"/>
        </w:numPr>
        <w:pStyle w:val="Compact"/>
      </w:pPr>
      <w:r>
        <w:t xml:space="preserve">Wait for it to finish. Quick mode takes a few minutes on a CPU runtime.</w:t>
      </w:r>
    </w:p>
    <w:p>
      <w:pPr>
        <w:numPr>
          <w:ilvl w:val="0"/>
          <w:numId w:val="1010"/>
        </w:numPr>
        <w:pStyle w:val="Compact"/>
      </w:pPr>
      <w:r>
        <w:t xml:space="preserve">Scroll to each section and capture the output cell, using the table below. Remember A.2 for anything that shows accuracy or F1.</w:t>
      </w:r>
    </w:p>
    <w:tbl>
      <w:tblPr>
        <w:tblStyle w:val="Table"/>
        <w:tblW w:type="pct" w:w="5000"/>
        <w:jc w:val="center"/>
        <w:tblLook w:firstRow="1" w:lastRow="0" w:firstColumn="0" w:lastColumn="0" w:noHBand="0" w:noVBand="0" w:val="0020"/>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510"/>
        <w:gridCol w:w="2682"/>
        <w:gridCol w:w="4726"/>
      </w:tblGrid>
      <w:tr>
        <w:trPr>
          <w:tblHeader w:val="true"/>
          <w:cantSplit/>
          <w:tblHeader/>
        </w:trPr>
        <w:tc>
          <w:tcPr>
            <w:shd w:val="clear" w:color="auto" w:fill="E7E6E6"/>
          </w:tcPr>
          <w:p>
            <w:pPr>
              <w:pStyle w:val="Compact"/>
              <w:spacing w:after="20" w:before="20"/>
              <w:jc w:val="left"/>
            </w:pPr>
            <w:r>
              <w:rPr>
                <w:b/>
                <w:sz w:val="16"/>
              </w:rPr>
              <w:t xml:space="preserve">ID</w:t>
            </w:r>
          </w:p>
        </w:tc>
        <w:tc>
          <w:tcPr>
            <w:shd w:val="clear" w:color="auto" w:fill="E7E6E6"/>
          </w:tcPr>
          <w:p>
            <w:pPr>
              <w:pStyle w:val="Compact"/>
              <w:spacing w:after="20" w:before="20"/>
              <w:jc w:val="left"/>
            </w:pPr>
            <w:r>
              <w:rPr>
                <w:b/>
                <w:sz w:val="16"/>
              </w:rPr>
              <w:t xml:space="preserve">Notebook section</w:t>
            </w:r>
          </w:p>
        </w:tc>
        <w:tc>
          <w:tcPr>
            <w:shd w:val="clear" w:color="auto" w:fill="E7E6E6"/>
          </w:tcPr>
          <w:p>
            <w:pPr>
              <w:pStyle w:val="Compact"/>
              <w:spacing w:after="20" w:before="20"/>
              <w:jc w:val="left"/>
            </w:pPr>
            <w:r>
              <w:rPr>
                <w:b/>
                <w:sz w:val="16"/>
              </w:rPr>
              <w:t xml:space="preserve">What to capture</w:t>
            </w:r>
          </w:p>
        </w:tc>
      </w:tr>
      <w:tr>
        <w:trPr>
          <w:cantSplit/>
        </w:trPr>
        <w:tc>
          <w:tcPr/>
          <w:p>
            <w:pPr>
              <w:pStyle w:val="Compact"/>
              <w:spacing w:after="20" w:before="20"/>
              <w:jc w:val="left"/>
            </w:pPr>
            <w:r>
              <w:rPr>
                <w:sz w:val="16"/>
              </w:rPr>
              <w:t xml:space="preserve">S6</w:t>
            </w:r>
          </w:p>
        </w:tc>
        <w:tc>
          <w:tcPr/>
          <w:p>
            <w:pPr>
              <w:pStyle w:val="Compact"/>
              <w:spacing w:after="20" w:before="20"/>
              <w:jc w:val="left"/>
            </w:pPr>
            <w:r>
              <w:rPr>
                <w:sz w:val="16"/>
              </w:rPr>
              <w:t xml:space="preserve">1. Datasets</w:t>
            </w:r>
          </w:p>
        </w:tc>
        <w:tc>
          <w:tcPr/>
          <w:p>
            <w:pPr>
              <w:pStyle w:val="Compact"/>
              <w:spacing w:after="20" w:before="20"/>
              <w:jc w:val="left"/>
            </w:pPr>
            <w:r>
              <w:rPr>
                <w:sz w:val="16"/>
              </w:rPr>
              <w:t xml:space="preserve">The datasets table</w:t>
            </w:r>
          </w:p>
        </w:tc>
      </w:tr>
      <w:tr>
        <w:trPr>
          <w:cantSplit/>
        </w:trPr>
        <w:tc>
          <w:tcPr/>
          <w:p>
            <w:pPr>
              <w:pStyle w:val="Compact"/>
              <w:spacing w:after="20" w:before="20"/>
              <w:jc w:val="left"/>
            </w:pPr>
            <w:r>
              <w:rPr>
                <w:sz w:val="16"/>
              </w:rPr>
              <w:t xml:space="preserve">S7</w:t>
            </w:r>
          </w:p>
        </w:tc>
        <w:tc>
          <w:tcPr/>
          <w:p>
            <w:pPr>
              <w:pStyle w:val="Compact"/>
              <w:spacing w:after="20" w:before="20"/>
              <w:jc w:val="left"/>
            </w:pPr>
            <w:r>
              <w:rPr>
                <w:sz w:val="16"/>
              </w:rPr>
              <w:t xml:space="preserve">2. Module 1</w:t>
            </w:r>
          </w:p>
        </w:tc>
        <w:tc>
          <w:tcPr/>
          <w:p>
            <w:pPr>
              <w:pStyle w:val="Compact"/>
              <w:spacing w:after="20" w:before="20"/>
              <w:jc w:val="left"/>
            </w:pPr>
            <w:r>
              <w:rPr>
                <w:sz w:val="16"/>
              </w:rPr>
              <w:t xml:space="preserve">The results table and the accuracy chart</w:t>
            </w:r>
          </w:p>
        </w:tc>
      </w:tr>
      <w:tr>
        <w:trPr>
          <w:cantSplit/>
        </w:trPr>
        <w:tc>
          <w:tcPr/>
          <w:p>
            <w:pPr>
              <w:pStyle w:val="Compact"/>
              <w:spacing w:after="20" w:before="20"/>
              <w:jc w:val="left"/>
            </w:pPr>
            <w:r>
              <w:rPr>
                <w:sz w:val="16"/>
              </w:rPr>
              <w:t xml:space="preserve">S8</w:t>
            </w:r>
          </w:p>
        </w:tc>
        <w:tc>
          <w:tcPr/>
          <w:p>
            <w:pPr>
              <w:pStyle w:val="Compact"/>
              <w:spacing w:after="20" w:before="20"/>
              <w:jc w:val="left"/>
            </w:pPr>
            <w:r>
              <w:rPr>
                <w:sz w:val="16"/>
              </w:rPr>
              <w:t xml:space="preserve">3a. Side-by-side</w:t>
            </w:r>
          </w:p>
        </w:tc>
        <w:tc>
          <w:tcPr/>
          <w:p>
            <w:pPr>
              <w:pStyle w:val="Compact"/>
              <w:spacing w:after="20" w:before="20"/>
              <w:jc w:val="left"/>
            </w:pPr>
            <w:r>
              <w:rPr>
                <w:sz w:val="16"/>
              </w:rPr>
              <w:t xml:space="preserve">The table of four tokenizers on eight tweets</w:t>
            </w:r>
          </w:p>
        </w:tc>
      </w:tr>
      <w:tr>
        <w:trPr>
          <w:cantSplit/>
        </w:trPr>
        <w:tc>
          <w:tcPr/>
          <w:p>
            <w:pPr>
              <w:pStyle w:val="Compact"/>
              <w:spacing w:after="20" w:before="20"/>
              <w:jc w:val="left"/>
            </w:pPr>
            <w:r>
              <w:rPr>
                <w:sz w:val="16"/>
              </w:rPr>
              <w:t xml:space="preserve">S9</w:t>
            </w:r>
          </w:p>
        </w:tc>
        <w:tc>
          <w:tcPr/>
          <w:p>
            <w:pPr>
              <w:pStyle w:val="Compact"/>
              <w:spacing w:after="20" w:before="20"/>
              <w:jc w:val="left"/>
            </w:pPr>
            <w:r>
              <w:rPr>
                <w:sz w:val="16"/>
              </w:rPr>
              <w:t xml:space="preserve">3a and 3b</w:t>
            </w:r>
          </w:p>
        </w:tc>
        <w:tc>
          <w:tcPr/>
          <w:p>
            <w:pPr>
              <w:pStyle w:val="Compact"/>
              <w:spacing w:after="20" w:before="20"/>
              <w:jc w:val="left"/>
            </w:pPr>
            <w:r>
              <w:rPr>
                <w:sz w:val="16"/>
              </w:rPr>
              <w:t xml:space="preserve">One per-tweet table (class, lexeme, normalized) and the symbol table</w:t>
            </w:r>
          </w:p>
        </w:tc>
      </w:tr>
      <w:tr>
        <w:trPr>
          <w:cantSplit/>
        </w:trPr>
        <w:tc>
          <w:tcPr/>
          <w:p>
            <w:pPr>
              <w:pStyle w:val="Compact"/>
              <w:spacing w:after="20" w:before="20"/>
              <w:jc w:val="left"/>
            </w:pPr>
            <w:r>
              <w:rPr>
                <w:sz w:val="16"/>
              </w:rPr>
              <w:t xml:space="preserve">S10</w:t>
            </w:r>
          </w:p>
        </w:tc>
        <w:tc>
          <w:tcPr/>
          <w:p>
            <w:pPr>
              <w:pStyle w:val="Compact"/>
              <w:spacing w:after="20" w:before="20"/>
              <w:jc w:val="left"/>
            </w:pPr>
            <w:r>
              <w:rPr>
                <w:sz w:val="16"/>
              </w:rPr>
              <w:t xml:space="preserve">3c. Own DFA engine</w:t>
            </w:r>
          </w:p>
        </w:tc>
        <w:tc>
          <w:tcPr/>
          <w:p>
            <w:pPr>
              <w:pStyle w:val="Compact"/>
              <w:spacing w:after="20" w:before="20"/>
              <w:jc w:val="left"/>
            </w:pPr>
            <w:r>
              <w:rPr>
                <w:sz w:val="16"/>
              </w:rPr>
              <w:t xml:space="preserve">The state-count table and the DFA picture</w:t>
            </w:r>
          </w:p>
        </w:tc>
      </w:tr>
      <w:tr>
        <w:trPr>
          <w:cantSplit/>
        </w:trPr>
        <w:tc>
          <w:tcPr/>
          <w:p>
            <w:pPr>
              <w:pStyle w:val="Compact"/>
              <w:spacing w:after="20" w:before="20"/>
              <w:jc w:val="left"/>
            </w:pPr>
            <w:r>
              <w:rPr>
                <w:sz w:val="16"/>
              </w:rPr>
              <w:t xml:space="preserve">S11</w:t>
            </w:r>
          </w:p>
        </w:tc>
        <w:tc>
          <w:tcPr/>
          <w:p>
            <w:pPr>
              <w:pStyle w:val="Compact"/>
              <w:spacing w:after="20" w:before="20"/>
              <w:jc w:val="left"/>
            </w:pPr>
            <w:r>
              <w:rPr>
                <w:sz w:val="16"/>
              </w:rPr>
              <w:t xml:space="preserve">3d. Scanner demo</w:t>
            </w:r>
          </w:p>
        </w:tc>
        <w:tc>
          <w:tcPr/>
          <w:p>
            <w:pPr>
              <w:pStyle w:val="Compact"/>
              <w:spacing w:after="20" w:before="20"/>
              <w:jc w:val="left"/>
            </w:pPr>
            <w:r>
              <w:rPr>
                <w:sz w:val="16"/>
              </w:rPr>
              <w:t xml:space="preserve">The token table (with the</w:t>
            </w:r>
            <w:r>
              <w:rPr>
                <w:sz w:val="16"/>
              </w:rPr>
              <w:t xml:space="preserve"> </w:t>
            </w:r>
            <w:r>
              <w:rPr>
                <w:rStyle w:val="VerbatimChar"/>
                <w:sz w:val="16"/>
              </w:rPr>
              <w:t xml:space="preserve">UNKNOWN</w:t>
            </w:r>
            <w:r>
              <w:rPr>
                <w:sz w:val="16"/>
              </w:rPr>
              <w:t xml:space="preserve"> </w:t>
            </w:r>
            <w:r>
              <w:rPr>
                <w:sz w:val="16"/>
              </w:rPr>
              <w:t xml:space="preserve">row for</w:t>
            </w:r>
            <w:r>
              <w:rPr>
                <w:sz w:val="16"/>
              </w:rPr>
              <w:t xml:space="preserve"> </w:t>
            </w:r>
            <w:r>
              <w:rPr>
                <w:rStyle w:val="VerbatimChar"/>
                <w:sz w:val="16"/>
              </w:rPr>
              <w:t xml:space="preserve">§</w:t>
            </w:r>
            <w:r>
              <w:rPr>
                <w:sz w:val="16"/>
              </w:rPr>
              <w:t xml:space="preserve">) and the line "DFA scanner and PLY lexer agree on this input: True"</w:t>
            </w:r>
          </w:p>
        </w:tc>
      </w:tr>
      <w:tr>
        <w:trPr>
          <w:cantSplit/>
        </w:trPr>
        <w:tc>
          <w:tcPr/>
          <w:p>
            <w:pPr>
              <w:pStyle w:val="Compact"/>
              <w:spacing w:after="20" w:before="20"/>
              <w:jc w:val="left"/>
            </w:pPr>
            <w:r>
              <w:rPr>
                <w:sz w:val="16"/>
              </w:rPr>
              <w:t xml:space="preserve">S12</w:t>
            </w:r>
          </w:p>
        </w:tc>
        <w:tc>
          <w:tcPr/>
          <w:p>
            <w:pPr>
              <w:pStyle w:val="Compact"/>
              <w:spacing w:after="20" w:before="20"/>
              <w:jc w:val="left"/>
            </w:pPr>
            <w:r>
              <w:rPr>
                <w:sz w:val="16"/>
              </w:rPr>
              <w:t xml:space="preserve">3e. Intrinsic metrics</w:t>
            </w:r>
          </w:p>
        </w:tc>
        <w:tc>
          <w:tcPr/>
          <w:p>
            <w:pPr>
              <w:pStyle w:val="Compact"/>
              <w:spacing w:after="20" w:before="20"/>
              <w:jc w:val="left"/>
            </w:pPr>
            <w:r>
              <w:rPr>
                <w:sz w:val="16"/>
              </w:rPr>
              <w:t xml:space="preserve">The table and the three-panel chart</w:t>
            </w:r>
          </w:p>
        </w:tc>
      </w:tr>
      <w:tr>
        <w:trPr>
          <w:cantSplit/>
        </w:trPr>
        <w:tc>
          <w:tcPr/>
          <w:p>
            <w:pPr>
              <w:pStyle w:val="Compact"/>
              <w:spacing w:after="20" w:before="20"/>
              <w:jc w:val="left"/>
            </w:pPr>
            <w:r>
              <w:rPr>
                <w:sz w:val="16"/>
              </w:rPr>
              <w:t xml:space="preserve">S13</w:t>
            </w:r>
          </w:p>
        </w:tc>
        <w:tc>
          <w:tcPr/>
          <w:p>
            <w:pPr>
              <w:pStyle w:val="Compact"/>
              <w:spacing w:after="20" w:before="20"/>
              <w:jc w:val="left"/>
            </w:pPr>
            <w:r>
              <w:rPr>
                <w:sz w:val="16"/>
              </w:rPr>
              <w:t xml:space="preserve">4. Existing vs proposed</w:t>
            </w:r>
          </w:p>
        </w:tc>
        <w:tc>
          <w:tcPr/>
          <w:p>
            <w:pPr>
              <w:pStyle w:val="Compact"/>
              <w:spacing w:after="20" w:before="20"/>
              <w:jc w:val="left"/>
            </w:pPr>
            <w:r>
              <w:rPr>
                <w:sz w:val="16"/>
              </w:rPr>
              <w:t xml:space="preserve">The table and the two-panel chart</w:t>
            </w:r>
          </w:p>
        </w:tc>
      </w:tr>
    </w:tbl>
    <w:p>
      <w:pPr>
        <w:spacing w:before="0" w:after="60" w:line="120" w:lineRule="exact"/>
      </w:pPr>
    </w:p>
    <w:p>
      <w:pPr>
        <w:pStyle w:val="BodyText"/>
      </w:pPr>
      <w:r>
        <w:t xml:space="preserve">If a figure in the report and a notebook screenshot show the same thing, use one or the other, not both.</w:t>
      </w:r>
    </w:p>
    <w:bookmarkEnd w:id="29"/>
    <w:bookmarkStart w:id="30" w:name="s14-changelog-and-git-log"/>
    <w:p>
      <w:pPr>
        <w:pStyle w:val="Heading3"/>
      </w:pPr>
      <w:r>
        <w:t xml:space="preserve">S14: CHANGELOG and git log</w:t>
      </w:r>
    </w:p>
    <w:p>
      <w:pPr>
        <w:numPr>
          <w:ilvl w:val="0"/>
          <w:numId w:val="1011"/>
        </w:numPr>
        <w:pStyle w:val="Compact"/>
      </w:pPr>
      <w:r>
        <w:t xml:space="preserve">Run</w:t>
      </w:r>
      <w:r>
        <w:t xml:space="preserve"> </w:t>
      </w:r>
      <w:r>
        <w:rPr>
          <w:rStyle w:val="VerbatimChar"/>
        </w:rPr>
        <w:t xml:space="preserve">git log --oneline -15</w:t>
      </w:r>
      <w:r>
        <w:t xml:space="preserve"> </w:t>
      </w:r>
      <w:r>
        <w:t xml:space="preserve">and capture it.</w:t>
      </w:r>
    </w:p>
    <w:p>
      <w:pPr>
        <w:numPr>
          <w:ilvl w:val="0"/>
          <w:numId w:val="1011"/>
        </w:numPr>
        <w:pStyle w:val="Compact"/>
      </w:pPr>
      <w:r>
        <w:t xml:space="preserve">Open the top of</w:t>
      </w:r>
      <w:r>
        <w:t xml:space="preserve"> </w:t>
      </w:r>
      <w:r>
        <w:rPr>
          <w:rStyle w:val="VerbatimChar"/>
        </w:rPr>
        <w:t xml:space="preserve">CHANGELOG.md</w:t>
      </w:r>
      <w:r>
        <w:t xml:space="preserve"> </w:t>
      </w:r>
      <w:r>
        <w:t xml:space="preserve">and capture the newest entries. This shows the design history.</w:t>
      </w:r>
    </w:p>
    <w:bookmarkEnd w:id="30"/>
    <w:bookmarkEnd w:id="31"/>
    <w:bookmarkStart w:id="32" w:name="X6b2e50a84ed5ec7eebc34f850918590d2150592"/>
    <w:p>
      <w:pPr>
        <w:pStyle w:val="Heading2"/>
      </w:pPr>
      <w:r>
        <w:t xml:space="preserve">A.5 How to put a screenshot into the report</w:t>
      </w:r>
    </w:p>
    <w:p>
      <w:pPr>
        <w:numPr>
          <w:ilvl w:val="0"/>
          <w:numId w:val="1012"/>
        </w:numPr>
      </w:pPr>
      <w:r>
        <w:t xml:space="preserve">Save each image into</w:t>
      </w:r>
      <w:r>
        <w:t xml:space="preserve"> </w:t>
      </w:r>
      <w:r>
        <w:rPr>
          <w:rStyle w:val="VerbatimChar"/>
        </w:rPr>
        <w:t xml:space="preserve">report/figures/</w:t>
      </w:r>
      <w:r>
        <w:t xml:space="preserve"> </w:t>
      </w:r>
      <w:r>
        <w:t xml:space="preserve">with a clear name, for example</w:t>
      </w:r>
      <w:r>
        <w:t xml:space="preserve"> </w:t>
      </w:r>
      <w:r>
        <w:rPr>
          <w:rStyle w:val="VerbatimChar"/>
        </w:rPr>
        <w:t xml:space="preserve">shot_pytest.png</w:t>
      </w:r>
      <w:r>
        <w:t xml:space="preserve">. Use PNG.</w:t>
      </w:r>
    </w:p>
    <w:p>
      <w:pPr>
        <w:numPr>
          <w:ilvl w:val="0"/>
          <w:numId w:val="1012"/>
        </w:numPr>
      </w:pPr>
      <w:r>
        <w:t xml:space="preserve">Open</w:t>
      </w:r>
      <w:r>
        <w:t xml:space="preserve"> </w:t>
      </w:r>
      <w:r>
        <w:rPr>
          <w:rStyle w:val="VerbatimChar"/>
        </w:rPr>
        <w:t xml:space="preserve">report/Review1_Report.template.md</w:t>
      </w:r>
      <w:r>
        <w:t xml:space="preserve"> </w:t>
      </w:r>
      <w:r>
        <w:t xml:space="preserve">and add a block at the end, before the</w:t>
      </w:r>
      <w:r>
        <w:t xml:space="preserve"> </w:t>
      </w:r>
      <w:r>
        <w:rPr>
          <w:rStyle w:val="VerbatimChar"/>
        </w:rPr>
        <w:t xml:space="preserve"># References</w:t>
      </w:r>
      <w:r>
        <w:t xml:space="preserve"> </w:t>
      </w:r>
      <w:r>
        <w:t xml:space="preserve">heading, so you do not disturb the existing figure numbers:</w:t>
      </w:r>
    </w:p>
    <w:p>
      <w:pPr>
        <w:numPr>
          <w:ilvl w:val="0"/>
          <w:numId w:val="1000"/>
        </w:numPr>
        <w:pStyle w:val="SourceCode"/>
      </w:pPr>
      <w:r>
        <w:rPr>
          <w:rStyle w:val="VerbatimChar"/>
        </w:rPr>
        <w:t xml:space="preserve"># Appendix A. Implementation evidence</w:t>
      </w:r>
      <w:r>
        <w:br/>
      </w:r>
      <w:r>
        <w:br/>
      </w:r>
      <w:r>
        <w:rPr>
          <w:rStyle w:val="VerbatimChar"/>
        </w:rPr>
        <w:t xml:space="preserve">![Figure A1. All tests passing (`pytest -q`).](figures/shot_pytest.png){width=14cm}</w:t>
      </w:r>
    </w:p>
    <w:p>
      <w:pPr>
        <w:numPr>
          <w:ilvl w:val="0"/>
          <w:numId w:val="1012"/>
        </w:numPr>
      </w:pPr>
      <w:r>
        <w:t xml:space="preserve">Write a caption that says what the image shows and where it came from, and add one sentence of your own on what it proves.</w:t>
      </w:r>
    </w:p>
    <w:p>
      <w:pPr>
        <w:numPr>
          <w:ilvl w:val="0"/>
          <w:numId w:val="1012"/>
        </w:numPr>
      </w:pPr>
      <w:r>
        <w:t xml:space="preserve">Rebuild (Part B, step 6).</w:t>
      </w:r>
    </w:p>
    <w:bookmarkEnd w:id="32"/>
    <w:bookmarkEnd w:id="33"/>
    <w:bookmarkStart w:id="42" w:name="Xa466336349a4582a5df3852ac740fd4019622fa"/>
    <w:p>
      <w:pPr>
        <w:pStyle w:val="Heading1"/>
      </w:pPr>
      <w:r>
        <w:t xml:space="preserve">Part B: Making the report your own, step by step</w:t>
      </w:r>
    </w:p>
    <w:p>
      <w:pPr>
        <w:pStyle w:val="FirstParagraph"/>
      </w:pPr>
      <w:r>
        <w:t xml:space="preserve">The goal is a report that is accurate, that you understand line by line, and that reads like you wrote it. You will also be asked about it in the viva. Plan for about half a day with three people.</w:t>
      </w:r>
    </w:p>
    <w:bookmarkStart w:id="34" w:name="b.1-where-the-text-lives"/>
    <w:p>
      <w:pPr>
        <w:pStyle w:val="Heading2"/>
      </w:pPr>
      <w:r>
        <w:t xml:space="preserve">B.1 Where the text lives</w:t>
      </w:r>
    </w:p>
    <w:p>
      <w:pPr>
        <w:numPr>
          <w:ilvl w:val="0"/>
          <w:numId w:val="1013"/>
        </w:numPr>
        <w:pStyle w:val="Compact"/>
      </w:pPr>
      <w:r>
        <w:rPr>
          <w:bCs/>
          <w:b/>
        </w:rPr>
        <w:t xml:space="preserve">Edit this file:</w:t>
      </w:r>
      <w:r>
        <w:t xml:space="preserve"> </w:t>
      </w:r>
      <w:r>
        <w:rPr>
          <w:rStyle w:val="VerbatimChar"/>
        </w:rPr>
        <w:t xml:space="preserve">report/Review1_Report.template.md</w:t>
      </w:r>
      <w:r>
        <w:t xml:space="preserve">. It holds all the prose.</w:t>
      </w:r>
    </w:p>
    <w:p>
      <w:pPr>
        <w:numPr>
          <w:ilvl w:val="0"/>
          <w:numId w:val="1013"/>
        </w:numPr>
        <w:pStyle w:val="Compact"/>
      </w:pPr>
      <w:r>
        <w:rPr>
          <w:bCs/>
          <w:b/>
        </w:rPr>
        <w:t xml:space="preserve">Do not edit by hand:</w:t>
      </w:r>
      <w:r>
        <w:t xml:space="preserve"> </w:t>
      </w:r>
      <w:r>
        <w:rPr>
          <w:rStyle w:val="VerbatimChar"/>
        </w:rPr>
        <w:t xml:space="preserve">report/Review1_Report.md</w:t>
      </w:r>
      <w:r>
        <w:t xml:space="preserve"> </w:t>
      </w:r>
      <w:r>
        <w:t xml:space="preserve">and</w:t>
      </w:r>
      <w:r>
        <w:t xml:space="preserve"> </w:t>
      </w:r>
      <w:r>
        <w:rPr>
          <w:rStyle w:val="VerbatimChar"/>
        </w:rPr>
        <w:t xml:space="preserve">report/Review1_Report.docx</w:t>
      </w:r>
      <w:r>
        <w:t xml:space="preserve">. They are generated from the template and are overwritten on every rebuild.</w:t>
      </w:r>
    </w:p>
    <w:p>
      <w:pPr>
        <w:numPr>
          <w:ilvl w:val="0"/>
          <w:numId w:val="1013"/>
        </w:numPr>
        <w:pStyle w:val="Compact"/>
      </w:pPr>
      <w:r>
        <w:rPr>
          <w:rStyle w:val="VerbatimChar"/>
        </w:rPr>
        <w:t xml:space="preserve">report/refs.py</w:t>
      </w:r>
      <w:r>
        <w:t xml:space="preserve"> </w:t>
      </w:r>
      <w:r>
        <w:t xml:space="preserve">holds the reference list.</w:t>
      </w:r>
      <w:r>
        <w:t xml:space="preserve"> </w:t>
      </w:r>
      <w:r>
        <w:rPr>
          <w:rStyle w:val="VerbatimChar"/>
        </w:rPr>
        <w:t xml:space="preserve">report/build_report.py</w:t>
      </w:r>
      <w:r>
        <w:t xml:space="preserve"> </w:t>
      </w:r>
      <w:r>
        <w:t xml:space="preserve">inserts the tables from</w:t>
      </w:r>
      <w:r>
        <w:t xml:space="preserve"> </w:t>
      </w:r>
      <w:r>
        <w:rPr>
          <w:rStyle w:val="VerbatimChar"/>
        </w:rPr>
        <w:t xml:space="preserve">results/tables/</w:t>
      </w:r>
      <w:r>
        <w:t xml:space="preserve"> </w:t>
      </w:r>
      <w:r>
        <w:t xml:space="preserve">and numbers the citations.</w:t>
      </w:r>
    </w:p>
    <w:p>
      <w:pPr>
        <w:numPr>
          <w:ilvl w:val="0"/>
          <w:numId w:val="1013"/>
        </w:numPr>
        <w:pStyle w:val="Compact"/>
      </w:pPr>
      <w:r>
        <w:t xml:space="preserve">In the template,</w:t>
      </w:r>
      <w:r>
        <w:t xml:space="preserve"> </w:t>
      </w:r>
      <w:r>
        <w:rPr>
          <w:rStyle w:val="VerbatimChar"/>
        </w:rPr>
        <w:t xml:space="preserve">{{key}}</w:t>
      </w:r>
      <w:r>
        <w:t xml:space="preserve"> </w:t>
      </w:r>
      <w:r>
        <w:t xml:space="preserve">is a citation, and</w:t>
      </w:r>
      <w:r>
        <w:t xml:space="preserve"> </w:t>
      </w:r>
      <w:r>
        <w:rPr>
          <w:rStyle w:val="VerbatimChar"/>
        </w:rPr>
        <w:t xml:space="preserve">@@TABLE:...@@</w:t>
      </w:r>
      <w:r>
        <w:t xml:space="preserve"> </w:t>
      </w:r>
      <w:r>
        <w:t xml:space="preserve">inserts a results table. Leave those markers alone.</w:t>
      </w:r>
    </w:p>
    <w:bookmarkEnd w:id="34"/>
    <w:bookmarkStart w:id="35" w:name="b.2-split-the-work"/>
    <w:p>
      <w:pPr>
        <w:pStyle w:val="Heading2"/>
      </w:pPr>
      <w:r>
        <w:t xml:space="preserve">B.2 Split the work</w:t>
      </w:r>
    </w:p>
    <w:p>
      <w:pPr>
        <w:pStyle w:val="FirstParagraph"/>
      </w:pPr>
      <w:r>
        <w:t xml:space="preserve">Divide the report among the three of you. A simple split:</w:t>
      </w:r>
    </w:p>
    <w:p>
      <w:pPr>
        <w:numPr>
          <w:ilvl w:val="0"/>
          <w:numId w:val="1014"/>
        </w:numPr>
        <w:pStyle w:val="Compact"/>
      </w:pPr>
      <w:r>
        <w:t xml:space="preserve">Person A: Abstract, Section 1 (introduction, version history) and Section 6.</w:t>
      </w:r>
    </w:p>
    <w:p>
      <w:pPr>
        <w:numPr>
          <w:ilvl w:val="0"/>
          <w:numId w:val="1014"/>
        </w:numPr>
        <w:pStyle w:val="Compact"/>
      </w:pPr>
      <w:r>
        <w:t xml:space="preserve">Person B: Section 2 (literature survey) and the references.</w:t>
      </w:r>
    </w:p>
    <w:p>
      <w:pPr>
        <w:numPr>
          <w:ilvl w:val="0"/>
          <w:numId w:val="1014"/>
        </w:numPr>
        <w:pStyle w:val="Compact"/>
      </w:pPr>
      <w:r>
        <w:t xml:space="preserve">Person C: Sections 3, 4 and 5 (the system, results and metrics).</w:t>
      </w:r>
    </w:p>
    <w:p>
      <w:pPr>
        <w:pStyle w:val="FirstParagraph"/>
      </w:pPr>
      <w:r>
        <w:t xml:space="preserve">Each person edits only their own sections, so there are no merge conflicts, and each person must be able to explain their sections out loud.</w:t>
      </w:r>
    </w:p>
    <w:bookmarkEnd w:id="35"/>
    <w:bookmarkStart w:id="36" w:name="b.3-the-edit-loop-for-each-section"/>
    <w:p>
      <w:pPr>
        <w:pStyle w:val="Heading2"/>
      </w:pPr>
      <w:r>
        <w:t xml:space="preserve">B.3 The edit loop for each section</w:t>
      </w:r>
    </w:p>
    <w:p>
      <w:pPr>
        <w:pStyle w:val="FirstParagraph"/>
      </w:pPr>
      <w:r>
        <w:t xml:space="preserve">Do this for every section you own. It is the most efficient way to get real understanding and your own wording at the same time.</w:t>
      </w:r>
    </w:p>
    <w:p>
      <w:pPr>
        <w:numPr>
          <w:ilvl w:val="0"/>
          <w:numId w:val="1015"/>
        </w:numPr>
        <w:pStyle w:val="Compact"/>
      </w:pPr>
      <w:r>
        <w:rPr>
          <w:bCs/>
          <w:b/>
        </w:rPr>
        <w:t xml:space="preserve">Read</w:t>
      </w:r>
      <w:r>
        <w:t xml:space="preserve"> </w:t>
      </w:r>
      <w:r>
        <w:t xml:space="preserve">the draft section once, slowly.</w:t>
      </w:r>
    </w:p>
    <w:p>
      <w:pPr>
        <w:numPr>
          <w:ilvl w:val="0"/>
          <w:numId w:val="1015"/>
        </w:numPr>
        <w:pStyle w:val="Compact"/>
      </w:pPr>
      <w:r>
        <w:rPr>
          <w:bCs/>
          <w:b/>
        </w:rPr>
        <w:t xml:space="preserve">Close it.</w:t>
      </w:r>
      <w:r>
        <w:t xml:space="preserve"> </w:t>
      </w:r>
      <w:r>
        <w:t xml:space="preserve">Write 3 to 5 bullet points in your own words: what was done, why, and what the result was. Use your own memory of the project, and look at the code if you are unsure.</w:t>
      </w:r>
    </w:p>
    <w:p>
      <w:pPr>
        <w:numPr>
          <w:ilvl w:val="0"/>
          <w:numId w:val="1015"/>
        </w:numPr>
        <w:pStyle w:val="Compact"/>
      </w:pPr>
      <w:r>
        <w:rPr>
          <w:bCs/>
          <w:b/>
        </w:rPr>
        <w:t xml:space="preserve">Write the paragraph again</w:t>
      </w:r>
      <w:r>
        <w:t xml:space="preserve"> </w:t>
      </w:r>
      <w:r>
        <w:t xml:space="preserve">from your bullets, in the way you would explain it to a classmate. Keep sentences short and plain.</w:t>
      </w:r>
    </w:p>
    <w:p>
      <w:pPr>
        <w:numPr>
          <w:ilvl w:val="0"/>
          <w:numId w:val="1015"/>
        </w:numPr>
        <w:pStyle w:val="Compact"/>
      </w:pPr>
      <w:r>
        <w:rPr>
          <w:bCs/>
          <w:b/>
        </w:rPr>
        <w:t xml:space="preserve">Compare with the draft.</w:t>
      </w:r>
      <w:r>
        <w:t xml:space="preserve"> </w:t>
      </w:r>
      <w:r>
        <w:t xml:space="preserve">Check that you did not drop a fact, and that you did not add a claim the data does not support.</w:t>
      </w:r>
    </w:p>
    <w:p>
      <w:pPr>
        <w:numPr>
          <w:ilvl w:val="0"/>
          <w:numId w:val="1015"/>
        </w:numPr>
        <w:pStyle w:val="Compact"/>
      </w:pPr>
      <w:r>
        <w:rPr>
          <w:bCs/>
          <w:b/>
        </w:rPr>
        <w:t xml:space="preserve">Put back every number</w:t>
      </w:r>
      <w:r>
        <w:t xml:space="preserve"> </w:t>
      </w:r>
      <w:r>
        <w:t xml:space="preserve">exactly as in the table, by copying from</w:t>
      </w:r>
      <w:r>
        <w:t xml:space="preserve"> </w:t>
      </w:r>
      <w:r>
        <w:rPr>
          <w:rStyle w:val="VerbatimChar"/>
        </w:rPr>
        <w:t xml:space="preserve">results/tables/</w:t>
      </w:r>
      <w:r>
        <w:t xml:space="preserve"> </w:t>
      </w:r>
      <w:r>
        <w:t xml:space="preserve">rather than typing from memory.</w:t>
      </w:r>
    </w:p>
    <w:p>
      <w:pPr>
        <w:numPr>
          <w:ilvl w:val="0"/>
          <w:numId w:val="1015"/>
        </w:numPr>
        <w:pStyle w:val="Compact"/>
      </w:pPr>
      <w:r>
        <w:t xml:space="preserve">Move on. Do not polish more than once per section.</w:t>
      </w:r>
    </w:p>
    <w:bookmarkEnd w:id="36"/>
    <w:bookmarkStart w:id="37" w:name="Xb8386f70d2107fca3b628d024f8666c5dcd2147"/>
    <w:p>
      <w:pPr>
        <w:pStyle w:val="Heading2"/>
      </w:pPr>
      <w:r>
        <w:t xml:space="preserve">B.4 What to change, and what not to change</w:t>
      </w:r>
    </w:p>
    <w:p>
      <w:pPr>
        <w:pStyle w:val="FirstParagraph"/>
      </w:pPr>
      <w:r>
        <w:t xml:space="preserve">Change these:</w:t>
      </w:r>
    </w:p>
    <w:p>
      <w:pPr>
        <w:numPr>
          <w:ilvl w:val="0"/>
          <w:numId w:val="1016"/>
        </w:numPr>
        <w:pStyle w:val="Compact"/>
      </w:pPr>
      <w:r>
        <w:rPr>
          <w:bCs/>
          <w:b/>
        </w:rPr>
        <w:t xml:space="preserve">Generic sentences.</w:t>
      </w:r>
      <w:r>
        <w:t xml:space="preserve"> </w:t>
      </w:r>
      <w:r>
        <w:t xml:space="preserve">Replace them with what actually happened in your project. Real events you can use are in</w:t>
      </w:r>
      <w:r>
        <w:t xml:space="preserve"> </w:t>
      </w:r>
      <w:r>
        <w:rPr>
          <w:rStyle w:val="VerbatimChar"/>
        </w:rPr>
        <w:t xml:space="preserve">CHANGELOG.md</w:t>
      </w:r>
      <w:r>
        <w:t xml:space="preserve"> </w:t>
      </w:r>
      <w:r>
        <w:t xml:space="preserve">and</w:t>
      </w:r>
      <w:r>
        <w:t xml:space="preserve"> </w:t>
      </w:r>
      <w:r>
        <w:rPr>
          <w:rStyle w:val="VerbatimChar"/>
        </w:rPr>
        <w:t xml:space="preserve">docs/</w:t>
      </w:r>
      <w:r>
        <w:t xml:space="preserve">: the TweetTopic loading problem and the Parquet workaround, the Hugging Face outage, why you chose the PLY dispatcher, why Hinglish and Docker were dropped, the ELONGATED back-reference finding.</w:t>
      </w:r>
    </w:p>
    <w:p>
      <w:pPr>
        <w:numPr>
          <w:ilvl w:val="0"/>
          <w:numId w:val="1016"/>
        </w:numPr>
        <w:pStyle w:val="Compact"/>
      </w:pPr>
      <w:r>
        <w:rPr>
          <w:bCs/>
          <w:b/>
        </w:rPr>
        <w:t xml:space="preserve">Explanations you cannot give from memory.</w:t>
      </w:r>
      <w:r>
        <w:t xml:space="preserve"> </w:t>
      </w:r>
      <w:r>
        <w:t xml:space="preserve">If you cannot explain a sentence, either read the code or</w:t>
      </w:r>
      <w:r>
        <w:t xml:space="preserve"> </w:t>
      </w:r>
      <w:r>
        <w:rPr>
          <w:rStyle w:val="VerbatimChar"/>
        </w:rPr>
        <w:t xml:space="preserve">docs/LEARN.md</w:t>
      </w:r>
      <w:r>
        <w:t xml:space="preserve"> </w:t>
      </w:r>
      <w:r>
        <w:t xml:space="preserve">until you can, or delete the sentence.</w:t>
      </w:r>
    </w:p>
    <w:p>
      <w:pPr>
        <w:numPr>
          <w:ilvl w:val="0"/>
          <w:numId w:val="1016"/>
        </w:numPr>
        <w:pStyle w:val="Compact"/>
      </w:pPr>
      <w:r>
        <w:rPr>
          <w:bCs/>
          <w:b/>
        </w:rPr>
        <w:t xml:space="preserve">Wording.</w:t>
      </w:r>
      <w:r>
        <w:t xml:space="preserve"> </w:t>
      </w:r>
      <w:r>
        <w:t xml:space="preserve">Use the vocabulary you normally use, keep academic tone, and keep paragraphs short.</w:t>
      </w:r>
    </w:p>
    <w:p>
      <w:pPr>
        <w:pStyle w:val="FirstParagraph"/>
      </w:pPr>
      <w:r>
        <w:t xml:space="preserve">Do not change these:</w:t>
      </w:r>
    </w:p>
    <w:p>
      <w:pPr>
        <w:numPr>
          <w:ilvl w:val="0"/>
          <w:numId w:val="1017"/>
        </w:numPr>
        <w:pStyle w:val="Compact"/>
      </w:pPr>
      <w:r>
        <w:rPr>
          <w:bCs/>
          <w:b/>
        </w:rPr>
        <w:t xml:space="preserve">The numbers, tables and the conclusions drawn from them.</w:t>
      </w:r>
      <w:r>
        <w:t xml:space="preserve"> </w:t>
      </w:r>
      <w:r>
        <w:t xml:space="preserve">The honest statements in Section 5.4 (the gain comes mainly from the classifier, results are single runs, TF-IDF lowercasing makes the lowercase rule redundant) must stay.</w:t>
      </w:r>
    </w:p>
    <w:p>
      <w:pPr>
        <w:numPr>
          <w:ilvl w:val="0"/>
          <w:numId w:val="1017"/>
        </w:numPr>
        <w:pStyle w:val="Compact"/>
      </w:pPr>
      <w:r>
        <w:rPr>
          <w:bCs/>
          <w:b/>
        </w:rPr>
        <w:t xml:space="preserve">References.</w:t>
      </w:r>
      <w:r>
        <w:t xml:space="preserve"> </w:t>
      </w:r>
      <w:r>
        <w:t xml:space="preserve">Do not add one you have not opened. Do not remove the</w:t>
      </w:r>
      <w:r>
        <w:t xml:space="preserve"> </w:t>
      </w:r>
      <w:r>
        <w:rPr>
          <w:rStyle w:val="VerbatimChar"/>
        </w:rPr>
        <w:t xml:space="preserve">[TEAM]</w:t>
      </w:r>
      <w:r>
        <w:t xml:space="preserve"> </w:t>
      </w:r>
      <w:r>
        <w:t xml:space="preserve">or</w:t>
      </w:r>
      <w:r>
        <w:t xml:space="preserve"> </w:t>
      </w:r>
      <w:r>
        <w:rPr>
          <w:rStyle w:val="VerbatimChar"/>
        </w:rPr>
        <w:t xml:space="preserve">[MISSING]</w:t>
      </w:r>
      <w:r>
        <w:t xml:space="preserve"> </w:t>
      </w:r>
      <w:r>
        <w:t xml:space="preserve">markers until you have actually filled them (B.5).</w:t>
      </w:r>
    </w:p>
    <w:bookmarkEnd w:id="37"/>
    <w:bookmarkStart w:id="38" w:name="b.5-fill-the-open-markers"/>
    <w:p>
      <w:pPr>
        <w:pStyle w:val="Heading2"/>
      </w:pPr>
      <w:r>
        <w:t xml:space="preserve">B.5 Fill the open markers</w:t>
      </w:r>
    </w:p>
    <w:p>
      <w:pPr>
        <w:pStyle w:val="FirstParagraph"/>
      </w:pPr>
      <w:r>
        <w:t xml:space="preserve">Search the template for</w:t>
      </w:r>
      <w:r>
        <w:t xml:space="preserve"> </w:t>
      </w:r>
      <w:r>
        <w:rPr>
          <w:rStyle w:val="VerbatimChar"/>
        </w:rPr>
        <w:t xml:space="preserve">[TEAM</w:t>
      </w:r>
      <w:r>
        <w:t xml:space="preserve"> </w:t>
      </w:r>
      <w:r>
        <w:t xml:space="preserve">and</w:t>
      </w:r>
      <w:r>
        <w:t xml:space="preserve"> </w:t>
      </w:r>
      <w:r>
        <w:rPr>
          <w:rStyle w:val="VerbatimChar"/>
        </w:rPr>
        <w:t xml:space="preserve">[MISSING</w:t>
      </w:r>
      <w:r>
        <w:t xml:space="preserve">. There are three items (four markers, because the textbook one appears twice):</w:t>
      </w:r>
    </w:p>
    <w:p>
      <w:pPr>
        <w:numPr>
          <w:ilvl w:val="0"/>
          <w:numId w:val="1018"/>
        </w:numPr>
        <w:pStyle w:val="Compact"/>
      </w:pPr>
      <w:r>
        <w:rPr>
          <w:bCs/>
          <w:b/>
        </w:rPr>
        <w:t xml:space="preserve">Base-paper citation</w:t>
      </w:r>
      <w:r>
        <w:t xml:space="preserve"> </w:t>
      </w:r>
      <w:r>
        <w:t xml:space="preserve">(Section 1.2). Add the real paper: title, authors, venue, year and URL. Add it as a new entry in</w:t>
      </w:r>
      <w:r>
        <w:t xml:space="preserve"> </w:t>
      </w:r>
      <w:r>
        <w:rPr>
          <w:rStyle w:val="VerbatimChar"/>
        </w:rPr>
        <w:t xml:space="preserve">report/refs.py</w:t>
      </w:r>
      <w:r>
        <w:t xml:space="preserve"> </w:t>
      </w:r>
      <w:r>
        <w:t xml:space="preserve">and cite it with</w:t>
      </w:r>
      <w:r>
        <w:t xml:space="preserve"> </w:t>
      </w:r>
      <w:r>
        <w:rPr>
          <w:rStyle w:val="VerbatimChar"/>
        </w:rPr>
        <w:t xml:space="preserve">{{key}}</w:t>
      </w:r>
      <w:r>
        <w:t xml:space="preserve">. Open the link yourself before adding it.</w:t>
      </w:r>
    </w:p>
    <w:p>
      <w:pPr>
        <w:numPr>
          <w:ilvl w:val="0"/>
          <w:numId w:val="1018"/>
        </w:numPr>
        <w:pStyle w:val="Compact"/>
      </w:pPr>
      <w:r>
        <w:rPr>
          <w:bCs/>
          <w:b/>
        </w:rPr>
        <w:t xml:space="preserve">Course textbook citation</w:t>
      </w:r>
      <w:r>
        <w:t xml:space="preserve"> </w:t>
      </w:r>
      <w:r>
        <w:t xml:space="preserve">(Sections 2.3 and 3.2). Add the textbook you used for subset construction and minimization, in IEEE style.</w:t>
      </w:r>
    </w:p>
    <w:p>
      <w:pPr>
        <w:numPr>
          <w:ilvl w:val="0"/>
          <w:numId w:val="1018"/>
        </w:numPr>
        <w:pStyle w:val="Compact"/>
      </w:pPr>
      <w:r>
        <w:rPr>
          <w:bCs/>
          <w:b/>
        </w:rPr>
        <w:t xml:space="preserve">Reason for dropping Docker</w:t>
      </w:r>
      <w:r>
        <w:t xml:space="preserve"> </w:t>
      </w:r>
      <w:r>
        <w:t xml:space="preserve">(Section 1.4, version table). Write the real reason, or delete the sentence.</w:t>
      </w:r>
    </w:p>
    <w:p>
      <w:pPr>
        <w:pStyle w:val="FirstParagraph"/>
      </w:pPr>
      <w:r>
        <w:t xml:space="preserve">When a marker is filled, delete its bracket text.</w:t>
      </w:r>
    </w:p>
    <w:bookmarkEnd w:id="38"/>
    <w:bookmarkStart w:id="39" w:name="b.6-rebuild-and-check"/>
    <w:p>
      <w:pPr>
        <w:pStyle w:val="Heading2"/>
      </w:pPr>
      <w:r>
        <w:t xml:space="preserve">B.6 Rebuild and check</w:t>
      </w:r>
    </w:p>
    <w:p>
      <w:pPr>
        <w:pStyle w:val="FirstParagraph"/>
      </w:pPr>
      <w:r>
        <w:t xml:space="preserve">After any edit:</w:t>
      </w:r>
    </w:p>
    <w:p>
      <w:pPr>
        <w:pStyle w:val="SourceCode"/>
      </w:pPr>
      <w:r>
        <w:rPr>
          <w:rStyle w:val="VerbatimChar"/>
        </w:rPr>
        <w:t xml:space="preserve">pip install python-docx          # once</w:t>
      </w:r>
      <w:r>
        <w:br/>
      </w:r>
      <w:r>
        <w:rPr>
          <w:rStyle w:val="VerbatimChar"/>
        </w:rPr>
        <w:t xml:space="preserve">python report/build_report.py --docx</w:t>
      </w:r>
    </w:p>
    <w:p>
      <w:pPr>
        <w:pStyle w:val="FirstParagraph"/>
      </w:pPr>
      <w:r>
        <w:t xml:space="preserve">This needs</w:t>
      </w:r>
      <w:r>
        <w:t xml:space="preserve"> </w:t>
      </w:r>
      <w:r>
        <w:rPr>
          <w:rStyle w:val="VerbatimChar"/>
        </w:rPr>
        <w:t xml:space="preserve">pandoc</w:t>
      </w:r>
      <w:r>
        <w:t xml:space="preserve"> </w:t>
      </w:r>
      <w:r>
        <w:t xml:space="preserve">installed (</w:t>
      </w:r>
      <w:r>
        <w:rPr>
          <w:rStyle w:val="VerbatimChar"/>
        </w:rPr>
        <w:t xml:space="preserve">pandoc --version</w:t>
      </w:r>
      <w:r>
        <w:t xml:space="preserve"> </w:t>
      </w:r>
      <w:r>
        <w:t xml:space="preserve">to check). It rewrites the</w:t>
      </w:r>
      <w:r>
        <w:t xml:space="preserve"> </w:t>
      </w:r>
      <w:r>
        <w:rPr>
          <w:rStyle w:val="VerbatimChar"/>
        </w:rPr>
        <w:t xml:space="preserve">.md</w:t>
      </w:r>
      <w:r>
        <w:t xml:space="preserve"> </w:t>
      </w:r>
      <w:r>
        <w:t xml:space="preserve">and</w:t>
      </w:r>
      <w:r>
        <w:t xml:space="preserve"> </w:t>
      </w:r>
      <w:r>
        <w:rPr>
          <w:rStyle w:val="VerbatimChar"/>
        </w:rPr>
        <w:t xml:space="preserve">.docx</w:t>
      </w:r>
      <w:r>
        <w:t xml:space="preserve">. Then:</w:t>
      </w:r>
    </w:p>
    <w:p>
      <w:pPr>
        <w:numPr>
          <w:ilvl w:val="0"/>
          <w:numId w:val="1019"/>
        </w:numPr>
        <w:pStyle w:val="Compact"/>
      </w:pPr>
      <w:r>
        <w:t xml:space="preserve">Open the</w:t>
      </w:r>
      <w:r>
        <w:t xml:space="preserve"> </w:t>
      </w:r>
      <w:r>
        <w:rPr>
          <w:rStyle w:val="VerbatimChar"/>
        </w:rPr>
        <w:t xml:space="preserve">.docx</w:t>
      </w:r>
      <w:r>
        <w:t xml:space="preserve"> </w:t>
      </w:r>
      <w:r>
        <w:t xml:space="preserve">in Word. Check that every table and figure is present and every caption is numbered.</w:t>
      </w:r>
    </w:p>
    <w:p>
      <w:pPr>
        <w:numPr>
          <w:ilvl w:val="0"/>
          <w:numId w:val="1019"/>
        </w:numPr>
        <w:pStyle w:val="Compact"/>
      </w:pPr>
      <w:r>
        <w:t xml:space="preserve">Search the document for</w:t>
      </w:r>
      <w:r>
        <w:t xml:space="preserve"> </w:t>
      </w:r>
      <w:r>
        <w:rPr>
          <w:rStyle w:val="VerbatimChar"/>
        </w:rPr>
        <w:t xml:space="preserve">[TEAM</w:t>
      </w:r>
      <w:r>
        <w:t xml:space="preserve">,</w:t>
      </w:r>
      <w:r>
        <w:t xml:space="preserve"> </w:t>
      </w:r>
      <w:r>
        <w:rPr>
          <w:rStyle w:val="VerbatimChar"/>
        </w:rPr>
        <w:t xml:space="preserve">[MISSING</w:t>
      </w:r>
      <w:r>
        <w:t xml:space="preserve"> </w:t>
      </w:r>
      <w:r>
        <w:t xml:space="preserve">and</w:t>
      </w:r>
      <w:r>
        <w:t xml:space="preserve"> </w:t>
      </w:r>
      <w:r>
        <w:rPr>
          <w:rStyle w:val="VerbatimChar"/>
        </w:rPr>
        <w:t xml:space="preserve">{{</w:t>
      </w:r>
      <w:r>
        <w:t xml:space="preserve">. None should remain at the end (a leftover</w:t>
      </w:r>
      <w:r>
        <w:t xml:space="preserve"> </w:t>
      </w:r>
      <w:r>
        <w:rPr>
          <w:rStyle w:val="VerbatimChar"/>
        </w:rPr>
        <w:t xml:space="preserve">{{</w:t>
      </w:r>
      <w:r>
        <w:t xml:space="preserve"> </w:t>
      </w:r>
      <w:r>
        <w:t xml:space="preserve">means a mistyped citation key).</w:t>
      </w:r>
    </w:p>
    <w:p>
      <w:pPr>
        <w:numPr>
          <w:ilvl w:val="0"/>
          <w:numId w:val="1019"/>
        </w:numPr>
        <w:pStyle w:val="Compact"/>
      </w:pPr>
      <w:r>
        <w:t xml:space="preserve">Check that page numbers show in the footer.</w:t>
      </w:r>
    </w:p>
    <w:bookmarkEnd w:id="39"/>
    <w:bookmarkStart w:id="40" w:name="b.7-final-polish-in-word-by-hand"/>
    <w:p>
      <w:pPr>
        <w:pStyle w:val="Heading2"/>
      </w:pPr>
      <w:r>
        <w:t xml:space="preserve">B.7 Final polish in Word, by hand</w:t>
      </w:r>
    </w:p>
    <w:p>
      <w:pPr>
        <w:pStyle w:val="FirstParagraph"/>
      </w:pPr>
      <w:r>
        <w:t xml:space="preserve">Do this once, after the last rebuild, because a rebuild overwrites changes made in Word.</w:t>
      </w:r>
    </w:p>
    <w:p>
      <w:pPr>
        <w:numPr>
          <w:ilvl w:val="0"/>
          <w:numId w:val="1020"/>
        </w:numPr>
        <w:pStyle w:val="Compact"/>
      </w:pPr>
      <w:r>
        <w:t xml:space="preserve">Read the whole document aloud, or have a teammate read it to you. Fix anything awkward.</w:t>
      </w:r>
    </w:p>
    <w:p>
      <w:pPr>
        <w:numPr>
          <w:ilvl w:val="0"/>
          <w:numId w:val="1020"/>
        </w:numPr>
        <w:pStyle w:val="Compact"/>
      </w:pPr>
      <w:r>
        <w:t xml:space="preserve">Check headings, figure and table captions, and that no table is split badly across a page.</w:t>
      </w:r>
    </w:p>
    <w:p>
      <w:pPr>
        <w:numPr>
          <w:ilvl w:val="0"/>
          <w:numId w:val="1020"/>
        </w:numPr>
        <w:pStyle w:val="Compact"/>
      </w:pPr>
      <w:r>
        <w:t xml:space="preserve">Add your institution, course code and roll numbers to the title block if your department requires it.</w:t>
      </w:r>
    </w:p>
    <w:p>
      <w:pPr>
        <w:numPr>
          <w:ilvl w:val="0"/>
          <w:numId w:val="1020"/>
        </w:numPr>
        <w:pStyle w:val="Compact"/>
      </w:pPr>
      <w:r>
        <w:t xml:space="preserve">Export a PDF (File, Save As, PDF) and check it once more before submitting.</w:t>
      </w:r>
    </w:p>
    <w:bookmarkEnd w:id="40"/>
    <w:bookmarkStart w:id="41" w:name="b.8-check-the-claims-one-last-time"/>
    <w:p>
      <w:pPr>
        <w:pStyle w:val="Heading2"/>
      </w:pPr>
      <w:r>
        <w:t xml:space="preserve">B.8 Check the claims one last time</w:t>
      </w:r>
    </w:p>
    <w:p>
      <w:pPr>
        <w:pStyle w:val="FirstParagraph"/>
      </w:pPr>
      <w:r>
        <w:t xml:space="preserve">Before submitting, confirm each of these:</w:t>
      </w:r>
    </w:p>
    <w:p>
      <w:pPr>
        <w:numPr>
          <w:ilvl w:val="0"/>
          <w:numId w:val="1021"/>
        </w:numPr>
        <w:pStyle w:val="Compact"/>
      </w:pPr>
      <w:r>
        <w:t xml:space="preserve">Every number in the text matches a table in</w:t>
      </w:r>
      <w:r>
        <w:t xml:space="preserve"> </w:t>
      </w:r>
      <w:r>
        <w:rPr>
          <w:rStyle w:val="VerbatimChar"/>
        </w:rPr>
        <w:t xml:space="preserve">results/tables/</w:t>
      </w:r>
      <w:r>
        <w:t xml:space="preserve">.</w:t>
      </w:r>
    </w:p>
    <w:p>
      <w:pPr>
        <w:numPr>
          <w:ilvl w:val="0"/>
          <w:numId w:val="1021"/>
        </w:numPr>
        <w:pStyle w:val="Compact"/>
      </w:pPr>
      <w:r>
        <w:t xml:space="preserve">Every citation number points to the right reference, and you have opened each link at least once.</w:t>
      </w:r>
    </w:p>
    <w:p>
      <w:pPr>
        <w:numPr>
          <w:ilvl w:val="0"/>
          <w:numId w:val="1021"/>
        </w:numPr>
        <w:pStyle w:val="Compact"/>
      </w:pPr>
      <w:r>
        <w:t xml:space="preserve">No sentence calls LexFront "first" or "novel", and none claims the tokenizer caused the accuracy gain.</w:t>
      </w:r>
    </w:p>
    <w:p>
      <w:pPr>
        <w:numPr>
          <w:ilvl w:val="0"/>
          <w:numId w:val="1021"/>
        </w:numPr>
        <w:pStyle w:val="Compact"/>
      </w:pPr>
      <w:r>
        <w:t xml:space="preserve">You can explain every figure and every table in about a minute.</w:t>
      </w:r>
    </w:p>
    <w:p>
      <w:pPr>
        <w:pStyle w:val="FirstParagraph"/>
      </w:pPr>
      <w:r>
        <w:t xml:space="preserve">For viva preparation, use the 30 questions in</w:t>
      </w:r>
      <w:r>
        <w:t xml:space="preserve"> </w:t>
      </w:r>
      <w:r>
        <w:rPr>
          <w:rStyle w:val="VerbatimChar"/>
        </w:rPr>
        <w:t xml:space="preserve">docs/LEARN.md</w:t>
      </w:r>
      <w:r>
        <w:t xml:space="preserve"> </w:t>
      </w:r>
      <w:r>
        <w:t xml:space="preserve">as a self-test.</w:t>
      </w:r>
    </w:p>
    <w:bookmarkEnd w:id="41"/>
    <w:bookmarkEnd w:id="42"/>
    <w:bookmarkStart w:id="49" w:name="X895323f2dd6a3e577150c0d449cf6acda4e72e6"/>
    <w:p>
      <w:pPr>
        <w:pStyle w:val="Heading1"/>
      </w:pPr>
      <w:r>
        <w:t xml:space="preserve">Part C: Producing the graphs and diagrams yourselves</w:t>
      </w:r>
    </w:p>
    <w:p>
      <w:pPr>
        <w:pStyle w:val="FirstParagraph"/>
      </w:pPr>
      <w:r>
        <w:t xml:space="preserve">The figures in the draft were generated from the project's own code and result files. Using figures you generate yourselves is good, as long as the data behind them is the real data. Choose one option per figure.</w:t>
      </w:r>
    </w:p>
    <w:bookmarkStart w:id="45" w:name="c.1-bar-charts-figures-5-7-8-and-9"/>
    <w:p>
      <w:pPr>
        <w:pStyle w:val="Heading2"/>
      </w:pPr>
      <w:r>
        <w:t xml:space="preserve">C.1 Bar charts (Figures 5, 7, 8 and 9)</w:t>
      </w:r>
    </w:p>
    <w:bookmarkStart w:id="43" w:name="X25aac9b07225824fe2a383aca19737432eb4663"/>
    <w:p>
      <w:pPr>
        <w:pStyle w:val="Heading3"/>
      </w:pPr>
      <w:r>
        <w:t xml:space="preserve">Option 1: Regenerate with the project code (easiest)</w:t>
      </w:r>
    </w:p>
    <w:p>
      <w:pPr>
        <w:numPr>
          <w:ilvl w:val="0"/>
          <w:numId w:val="1022"/>
        </w:numPr>
      </w:pPr>
      <w:r>
        <w:t xml:space="preserve">Activate the environment from A.1.</w:t>
      </w:r>
    </w:p>
    <w:p>
      <w:pPr>
        <w:numPr>
          <w:ilvl w:val="0"/>
          <w:numId w:val="1022"/>
        </w:numPr>
      </w:pPr>
      <w:r>
        <w:t xml:space="preserve">Run:</w:t>
      </w:r>
    </w:p>
    <w:p>
      <w:pPr>
        <w:numPr>
          <w:ilvl w:val="0"/>
          <w:numId w:val="1000"/>
        </w:numPr>
        <w:pStyle w:val="SourceCode"/>
      </w:pPr>
      <w:r>
        <w:rPr>
          <w:rStyle w:val="VerbatimChar"/>
        </w:rPr>
        <w:t xml:space="preserve">python -c "from experiments.figures import build_all_figures; print(build_all_figures('results'))"</w:t>
      </w:r>
    </w:p>
    <w:p>
      <w:pPr>
        <w:numPr>
          <w:ilvl w:val="0"/>
          <w:numId w:val="1022"/>
        </w:numPr>
      </w:pPr>
      <w:r>
        <w:t xml:space="preserve">The charts are rewritten into</w:t>
      </w:r>
      <w:r>
        <w:t xml:space="preserve"> </w:t>
      </w:r>
      <w:r>
        <w:rPr>
          <w:rStyle w:val="VerbatimChar"/>
        </w:rPr>
        <w:t xml:space="preserve">results/figures/</w:t>
      </w:r>
      <w:r>
        <w:t xml:space="preserve">. Copy them over the ones in</w:t>
      </w:r>
      <w:r>
        <w:t xml:space="preserve"> </w:t>
      </w:r>
      <w:r>
        <w:rPr>
          <w:rStyle w:val="VerbatimChar"/>
        </w:rPr>
        <w:t xml:space="preserve">report/figures/</w:t>
      </w:r>
      <w:r>
        <w:t xml:space="preserve"> </w:t>
      </w:r>
      <w:r>
        <w:t xml:space="preserve">(same file names), then rebuild.</w:t>
      </w:r>
    </w:p>
    <w:p>
      <w:pPr>
        <w:numPr>
          <w:ilvl w:val="0"/>
          <w:numId w:val="1022"/>
        </w:numPr>
      </w:pPr>
      <w:r>
        <w:t xml:space="preserve">If you want a different look (colors, fonts, sizes), edit</w:t>
      </w:r>
      <w:r>
        <w:t xml:space="preserve"> </w:t>
      </w:r>
      <w:r>
        <w:rPr>
          <w:rStyle w:val="VerbatimChar"/>
        </w:rPr>
        <w:t xml:space="preserve">experiments/figures.py</w:t>
      </w:r>
      <w:r>
        <w:t xml:space="preserve"> </w:t>
      </w:r>
      <w:r>
        <w:t xml:space="preserve">and run it again. The data comes from the JSON, so the numbers stay correct.</w:t>
      </w:r>
    </w:p>
    <w:bookmarkEnd w:id="43"/>
    <w:bookmarkStart w:id="44" w:name="Xce33d038d6c49374d86131686e114c7ceeac4ed"/>
    <w:p>
      <w:pPr>
        <w:pStyle w:val="Heading3"/>
      </w:pPr>
      <w:r>
        <w:t xml:space="preserve">Option 2: Plot them yourself in a spreadsheet or plotting tool</w:t>
      </w:r>
    </w:p>
    <w:p>
      <w:pPr>
        <w:numPr>
          <w:ilvl w:val="0"/>
          <w:numId w:val="1023"/>
        </w:numPr>
        <w:pStyle w:val="Compact"/>
      </w:pPr>
      <w:r>
        <w:t xml:space="preserve">Open</w:t>
      </w:r>
      <w:r>
        <w:t xml:space="preserve"> </w:t>
      </w:r>
      <w:r>
        <w:rPr>
          <w:rStyle w:val="VerbatimChar"/>
        </w:rPr>
        <w:t xml:space="preserve">results/tables/module1_results.md</w:t>
      </w:r>
      <w:r>
        <w:t xml:space="preserve"> </w:t>
      </w:r>
      <w:r>
        <w:t xml:space="preserve">(or the table for the figure you want).</w:t>
      </w:r>
    </w:p>
    <w:p>
      <w:pPr>
        <w:numPr>
          <w:ilvl w:val="0"/>
          <w:numId w:val="1023"/>
        </w:numPr>
        <w:pStyle w:val="Compact"/>
      </w:pPr>
      <w:r>
        <w:t xml:space="preserve">Copy the numbers into Excel, Google Sheets or your own matplotlib script, by copy and paste from the table file. Do not retype them.</w:t>
      </w:r>
    </w:p>
    <w:p>
      <w:pPr>
        <w:numPr>
          <w:ilvl w:val="0"/>
          <w:numId w:val="1023"/>
        </w:numPr>
        <w:pStyle w:val="Compact"/>
      </w:pPr>
      <w:r>
        <w:t xml:space="preserve">Make a grouped bar chart: datasets on the x-axis, one bar per tokenizer (or per setting), accuracy on the y-axis.</w:t>
      </w:r>
    </w:p>
    <w:p>
      <w:pPr>
        <w:numPr>
          <w:ilvl w:val="0"/>
          <w:numId w:val="1023"/>
        </w:numPr>
        <w:pStyle w:val="Compact"/>
      </w:pPr>
      <w:r>
        <w:t xml:space="preserve">Label every bar with its value, and then check each label against the table.</w:t>
      </w:r>
    </w:p>
    <w:p>
      <w:pPr>
        <w:numPr>
          <w:ilvl w:val="0"/>
          <w:numId w:val="1023"/>
        </w:numPr>
        <w:pStyle w:val="Compact"/>
      </w:pPr>
      <w:r>
        <w:t xml:space="preserve">Export as PNG at 200 dpi or more, about 16 cm wide, and save it in</w:t>
      </w:r>
      <w:r>
        <w:t xml:space="preserve"> </w:t>
      </w:r>
      <w:r>
        <w:rPr>
          <w:rStyle w:val="VerbatimChar"/>
        </w:rPr>
        <w:t xml:space="preserve">report/figures/</w:t>
      </w:r>
      <w:r>
        <w:t xml:space="preserve"> </w:t>
      </w:r>
      <w:r>
        <w:t xml:space="preserve">using the same file name as the one it replaces.</w:t>
      </w:r>
    </w:p>
    <w:bookmarkEnd w:id="44"/>
    <w:bookmarkEnd w:id="45"/>
    <w:bookmarkStart w:id="46" w:name="c.2-dfa-diagram-figure-6"/>
    <w:p>
      <w:pPr>
        <w:pStyle w:val="Heading2"/>
      </w:pPr>
      <w:r>
        <w:t xml:space="preserve">C.2 DFA diagram (Figure 6)</w:t>
      </w:r>
    </w:p>
    <w:p>
      <w:pPr>
        <w:numPr>
          <w:ilvl w:val="0"/>
          <w:numId w:val="1024"/>
        </w:numPr>
      </w:pPr>
      <w:r>
        <w:rPr>
          <w:bCs/>
          <w:b/>
        </w:rPr>
        <w:t xml:space="preserve">Regenerate:</w:t>
      </w:r>
      <w:r>
        <w:t xml:space="preserve"> </w:t>
      </w:r>
      <w:r>
        <w:t xml:space="preserve">with Graphviz installed, run</w:t>
      </w:r>
    </w:p>
    <w:p>
      <w:pPr>
        <w:numPr>
          <w:ilvl w:val="0"/>
          <w:numId w:val="1000"/>
        </w:numPr>
        <w:pStyle w:val="SourceCode"/>
      </w:pPr>
      <w:r>
        <w:rPr>
          <w:rStyle w:val="VerbatimChar"/>
        </w:rPr>
        <w:t xml:space="preserve">dot -Tpng results/module2/dfa_min.dot -o report/figures/dfa_min.png</w:t>
      </w:r>
    </w:p>
    <w:p>
      <w:pPr>
        <w:numPr>
          <w:ilvl w:val="0"/>
          <w:numId w:val="1024"/>
        </w:numPr>
      </w:pPr>
      <w:r>
        <w:rPr>
          <w:bCs/>
          <w:b/>
        </w:rPr>
        <w:t xml:space="preserve">Or redraw by hand</w:t>
      </w:r>
      <w:r>
        <w:t xml:space="preserve"> </w:t>
      </w:r>
      <w:r>
        <w:t xml:space="preserve">in diagrams.net (draw.io) or on paper and photograph it. Keep the same states</w:t>
      </w:r>
      <w:r>
        <w:t xml:space="preserve"> </w:t>
      </w:r>
      <w:r>
        <w:rPr>
          <w:rStyle w:val="VerbatimChar"/>
        </w:rPr>
        <w:t xml:space="preserve">q0</w:t>
      </w:r>
      <w:r>
        <w:t xml:space="preserve"> </w:t>
      </w:r>
      <w:r>
        <w:t xml:space="preserve">to</w:t>
      </w:r>
      <w:r>
        <w:t xml:space="preserve"> </w:t>
      </w:r>
      <w:r>
        <w:rPr>
          <w:rStyle w:val="VerbatimChar"/>
        </w:rPr>
        <w:t xml:space="preserve">q9</w:t>
      </w:r>
      <w:r>
        <w:t xml:space="preserve">, the same transitions and the same accepting states (</w:t>
      </w:r>
      <w:r>
        <w:rPr>
          <w:rStyle w:val="VerbatimChar"/>
        </w:rPr>
        <w:t xml:space="preserve">q5</w:t>
      </w:r>
      <w:r>
        <w:t xml:space="preserve"> </w:t>
      </w:r>
      <w:r>
        <w:t xml:space="preserve">WORD,</w:t>
      </w:r>
      <w:r>
        <w:t xml:space="preserve"> </w:t>
      </w:r>
      <w:r>
        <w:rPr>
          <w:rStyle w:val="VerbatimChar"/>
        </w:rPr>
        <w:t xml:space="preserve">q6</w:t>
      </w:r>
      <w:r>
        <w:t xml:space="preserve"> </w:t>
      </w:r>
      <w:r>
        <w:t xml:space="preserve">HASHTAG,</w:t>
      </w:r>
      <w:r>
        <w:t xml:space="preserve"> </w:t>
      </w:r>
      <w:r>
        <w:rPr>
          <w:rStyle w:val="VerbatimChar"/>
        </w:rPr>
        <w:t xml:space="preserve">q8</w:t>
      </w:r>
      <w:r>
        <w:t xml:space="preserve"> </w:t>
      </w:r>
      <w:r>
        <w:t xml:space="preserve">EMOTICON,</w:t>
      </w:r>
      <w:r>
        <w:t xml:space="preserve"> </w:t>
      </w:r>
      <w:r>
        <w:rPr>
          <w:rStyle w:val="VerbatimChar"/>
        </w:rPr>
        <w:t xml:space="preserve">q9</w:t>
      </w:r>
      <w:r>
        <w:t xml:space="preserve"> </w:t>
      </w:r>
      <w:r>
        <w:t xml:space="preserve">MENTION), and compare it with the committed picture when you are done. A hand drawing is allowed to look different, but it must say the same thing.</w:t>
      </w:r>
    </w:p>
    <w:bookmarkEnd w:id="46"/>
    <w:bookmarkStart w:id="47" w:name="c.3-architecture-diagrams-figures-1-to-4"/>
    <w:p>
      <w:pPr>
        <w:pStyle w:val="Heading2"/>
      </w:pPr>
      <w:r>
        <w:t xml:space="preserve">C.3 Architecture diagrams (Figures 1 to 4)</w:t>
      </w:r>
    </w:p>
    <w:p>
      <w:pPr>
        <w:pStyle w:val="FirstParagraph"/>
      </w:pPr>
      <w:r>
        <w:t xml:space="preserve">The source of each is a short text file in</w:t>
      </w:r>
      <w:r>
        <w:t xml:space="preserve"> </w:t>
      </w:r>
      <w:r>
        <w:rPr>
          <w:rStyle w:val="VerbatimChar"/>
        </w:rPr>
        <w:t xml:space="preserve">report/diagrams/</w:t>
      </w:r>
      <w:r>
        <w:t xml:space="preserve"> </w:t>
      </w:r>
      <w:r>
        <w:t xml:space="preserve">(</w:t>
      </w:r>
      <w:r>
        <w:rPr>
          <w:rStyle w:val="VerbatimChar"/>
        </w:rPr>
        <w:t xml:space="preserve">v1.mmd</w:t>
      </w:r>
      <w:r>
        <w:t xml:space="preserve">,</w:t>
      </w:r>
      <w:r>
        <w:t xml:space="preserve"> </w:t>
      </w:r>
      <w:r>
        <w:rPr>
          <w:rStyle w:val="VerbatimChar"/>
        </w:rPr>
        <w:t xml:space="preserve">v2.mmd</w:t>
      </w:r>
      <w:r>
        <w:t xml:space="preserve">,</w:t>
      </w:r>
      <w:r>
        <w:t xml:space="preserve"> </w:t>
      </w:r>
      <w:r>
        <w:rPr>
          <w:rStyle w:val="VerbatimChar"/>
        </w:rPr>
        <w:t xml:space="preserve">v3.mmd</w:t>
      </w:r>
      <w:r>
        <w:t xml:space="preserve">,</w:t>
      </w:r>
      <w:r>
        <w:t xml:space="preserve"> </w:t>
      </w:r>
      <w:r>
        <w:rPr>
          <w:rStyle w:val="VerbatimChar"/>
        </w:rPr>
        <w:t xml:space="preserve">current.mmd</w:t>
      </w:r>
      <w:r>
        <w:t xml:space="preserve">).</w:t>
      </w:r>
    </w:p>
    <w:p>
      <w:pPr>
        <w:numPr>
          <w:ilvl w:val="0"/>
          <w:numId w:val="1025"/>
        </w:numPr>
        <w:pStyle w:val="Compact"/>
      </w:pPr>
      <w:r>
        <w:rPr>
          <w:bCs/>
          <w:b/>
        </w:rPr>
        <w:t xml:space="preserve">Redraw by hand</w:t>
      </w:r>
      <w:r>
        <w:t xml:space="preserve"> </w:t>
      </w:r>
      <w:r>
        <w:t xml:space="preserve">in diagrams.net, PowerPoint or on paper. Follow the boxes and arrows in the source file, and keep the content the same (for example, v3 must still show "LexFront + BPE" as later work).</w:t>
      </w:r>
    </w:p>
    <w:p>
      <w:pPr>
        <w:numPr>
          <w:ilvl w:val="0"/>
          <w:numId w:val="1025"/>
        </w:numPr>
        <w:pStyle w:val="Compact"/>
      </w:pPr>
      <w:r>
        <w:rPr>
          <w:bCs/>
          <w:b/>
        </w:rPr>
        <w:t xml:space="preserve">Or re-render the Mermaid:</w:t>
      </w:r>
      <w:r>
        <w:t xml:space="preserve"> </w:t>
      </w:r>
      <w:r>
        <w:t xml:space="preserve">paste the text of a</w:t>
      </w:r>
      <w:r>
        <w:t xml:space="preserve"> </w:t>
      </w:r>
      <w:r>
        <w:rPr>
          <w:rStyle w:val="VerbatimChar"/>
        </w:rPr>
        <w:t xml:space="preserve">.mmd</w:t>
      </w:r>
      <w:r>
        <w:t xml:space="preserve"> </w:t>
      </w:r>
      <w:r>
        <w:t xml:space="preserve">file into https://mermaid.live, then export a PNG. Or run</w:t>
      </w:r>
      <w:r>
        <w:t xml:space="preserve"> </w:t>
      </w:r>
      <w:r>
        <w:rPr>
          <w:rStyle w:val="VerbatimChar"/>
        </w:rPr>
        <w:t xml:space="preserve">npx @mermaid-js/mermaid-cli -i report/diagrams/v1.mmd -o report/figures/arch_v1.png</w:t>
      </w:r>
      <w:r>
        <w:t xml:space="preserve">.</w:t>
      </w:r>
    </w:p>
    <w:bookmarkEnd w:id="47"/>
    <w:bookmarkStart w:id="48" w:name="c.4-rules-for-any-figure-you-replace"/>
    <w:p>
      <w:pPr>
        <w:pStyle w:val="Heading2"/>
      </w:pPr>
      <w:r>
        <w:t xml:space="preserve">C.4 Rules for any figure you replace</w:t>
      </w:r>
    </w:p>
    <w:p>
      <w:pPr>
        <w:numPr>
          <w:ilvl w:val="0"/>
          <w:numId w:val="1026"/>
        </w:numPr>
        <w:pStyle w:val="Compact"/>
      </w:pPr>
      <w:r>
        <w:t xml:space="preserve">Keep the same file name in</w:t>
      </w:r>
      <w:r>
        <w:t xml:space="preserve"> </w:t>
      </w:r>
      <w:r>
        <w:rPr>
          <w:rStyle w:val="VerbatimChar"/>
        </w:rPr>
        <w:t xml:space="preserve">report/figures/</w:t>
      </w:r>
      <w:r>
        <w:t xml:space="preserve">, so the report picks it up on the next rebuild.</w:t>
      </w:r>
    </w:p>
    <w:p>
      <w:pPr>
        <w:numPr>
          <w:ilvl w:val="0"/>
          <w:numId w:val="1026"/>
        </w:numPr>
        <w:pStyle w:val="Compact"/>
      </w:pPr>
      <w:r>
        <w:t xml:space="preserve">Keep the caption honest. For a redrawn diagram say "Redrawn from</w:t>
      </w:r>
      <w:r>
        <w:t xml:space="preserve"> </w:t>
      </w:r>
      <w:r>
        <w:rPr>
          <w:rStyle w:val="VerbatimChar"/>
        </w:rPr>
        <w:t xml:space="preserve">docs/versions/...</w:t>
      </w:r>
      <w:r>
        <w:t xml:space="preserve">". For a chart say that it is built from the JSON files in</w:t>
      </w:r>
      <w:r>
        <w:t xml:space="preserve"> </w:t>
      </w:r>
      <w:r>
        <w:rPr>
          <w:rStyle w:val="VerbatimChar"/>
        </w:rPr>
        <w:t xml:space="preserve">results/</w:t>
      </w:r>
      <w:r>
        <w:t xml:space="preserve">.</w:t>
      </w:r>
    </w:p>
    <w:p>
      <w:pPr>
        <w:numPr>
          <w:ilvl w:val="0"/>
          <w:numId w:val="1026"/>
        </w:numPr>
        <w:pStyle w:val="Compact"/>
      </w:pPr>
      <w:r>
        <w:t xml:space="preserve">Use a resolution that stays sharp at 16 cm wide (200 dpi or more), readable fonts, and axis labels and units.</w:t>
      </w:r>
    </w:p>
    <w:p>
      <w:pPr>
        <w:numPr>
          <w:ilvl w:val="0"/>
          <w:numId w:val="1026"/>
        </w:numPr>
        <w:pStyle w:val="Compact"/>
      </w:pPr>
      <w:r>
        <w:t xml:space="preserve">Re-check every value against the matching table.</w:t>
      </w:r>
    </w:p>
    <w:p>
      <w:pPr>
        <w:numPr>
          <w:ilvl w:val="0"/>
          <w:numId w:val="1026"/>
        </w:numPr>
        <w:pStyle w:val="Compact"/>
      </w:pPr>
      <w:r>
        <w:t xml:space="preserve">In Word, you can swap a picture by right-clicking it and choosing</w:t>
      </w:r>
      <w:r>
        <w:t xml:space="preserve"> </w:t>
      </w:r>
      <w:r>
        <w:rPr>
          <w:bCs/>
          <w:b/>
        </w:rPr>
        <w:t xml:space="preserve">Change Picture</w:t>
      </w:r>
      <w:r>
        <w:t xml:space="preserve">. But a rebuild undoes this, so do it only at the final polish step (B.7).</w:t>
      </w:r>
    </w:p>
    <w:bookmarkEnd w:id="48"/>
    <w:bookmarkEnd w:id="49"/>
    <w:bookmarkStart w:id="50" w:name="quick-checklist"/>
    <w:p>
      <w:pPr>
        <w:pStyle w:val="Heading1"/>
      </w:pPr>
      <w:r>
        <w:t xml:space="preserve">Quick checklist</w:t>
      </w:r>
    </w:p>
    <w:p>
      <w:pPr>
        <w:numPr>
          <w:ilvl w:val="0"/>
          <w:numId w:val="1027"/>
        </w:numPr>
        <w:pStyle w:val="Compact"/>
      </w:pPr>
      <w:r>
        <w:t xml:space="preserve">☐ Environment set up, NLTK data downloaded,</w:t>
      </w:r>
      <w:r>
        <w:t xml:space="preserve"> </w:t>
      </w:r>
      <w:r>
        <w:rPr>
          <w:rStyle w:val="VerbatimChar"/>
        </w:rPr>
        <w:t xml:space="preserve">dot -V</w:t>
      </w:r>
      <w:r>
        <w:t xml:space="preserve"> </w:t>
      </w:r>
      <w:r>
        <w:t xml:space="preserve">works</w:t>
      </w:r>
    </w:p>
    <w:p>
      <w:pPr>
        <w:numPr>
          <w:ilvl w:val="0"/>
          <w:numId w:val="1027"/>
        </w:numPr>
        <w:pStyle w:val="Compact"/>
      </w:pPr>
      <w:r>
        <w:t xml:space="preserve">☐</w:t>
      </w:r>
      <w:r>
        <w:t xml:space="preserve"> </w:t>
      </w:r>
      <w:r>
        <w:rPr>
          <w:rStyle w:val="VerbatimChar"/>
        </w:rPr>
        <w:t xml:space="preserve">pytest -q</w:t>
      </w:r>
      <w:r>
        <w:t xml:space="preserve"> </w:t>
      </w:r>
      <w:r>
        <w:t xml:space="preserve">passes (S2)</w:t>
      </w:r>
    </w:p>
    <w:p>
      <w:pPr>
        <w:numPr>
          <w:ilvl w:val="0"/>
          <w:numId w:val="1027"/>
        </w:numPr>
        <w:pStyle w:val="Compact"/>
      </w:pPr>
      <w:r>
        <w:t xml:space="preserve">☐ Screenshots taken, cropped, personal details removed, quick-mode ones captioned</w:t>
      </w:r>
    </w:p>
    <w:p>
      <w:pPr>
        <w:numPr>
          <w:ilvl w:val="0"/>
          <w:numId w:val="1027"/>
        </w:numPr>
        <w:pStyle w:val="Compact"/>
      </w:pPr>
      <w:r>
        <w:t xml:space="preserve">☐ Each section rewritten with the B.3 loop, numbers untouched</w:t>
      </w:r>
    </w:p>
    <w:p>
      <w:pPr>
        <w:numPr>
          <w:ilvl w:val="0"/>
          <w:numId w:val="1027"/>
        </w:numPr>
        <w:pStyle w:val="Compact"/>
      </w:pPr>
      <w:r>
        <w:t xml:space="preserve">☐ Three open items (four markers) filled or removed</w:t>
      </w:r>
    </w:p>
    <w:p>
      <w:pPr>
        <w:numPr>
          <w:ilvl w:val="0"/>
          <w:numId w:val="1027"/>
        </w:numPr>
        <w:pStyle w:val="Compact"/>
      </w:pPr>
      <w:r>
        <w:t xml:space="preserve">☐</w:t>
      </w:r>
      <w:r>
        <w:t xml:space="preserve"> </w:t>
      </w:r>
      <w:r>
        <w:rPr>
          <w:rStyle w:val="VerbatimChar"/>
        </w:rPr>
        <w:t xml:space="preserve">python report/build_report.py --docx</w:t>
      </w:r>
      <w:r>
        <w:t xml:space="preserve"> </w:t>
      </w:r>
      <w:r>
        <w:t xml:space="preserve">run,</w:t>
      </w:r>
      <w:r>
        <w:t xml:space="preserve"> </w:t>
      </w:r>
      <w:r>
        <w:rPr>
          <w:rStyle w:val="VerbatimChar"/>
        </w:rPr>
        <w:t xml:space="preserve">.docx</w:t>
      </w:r>
      <w:r>
        <w:t xml:space="preserve"> </w:t>
      </w:r>
      <w:r>
        <w:t xml:space="preserve">checked</w:t>
      </w:r>
    </w:p>
    <w:p>
      <w:pPr>
        <w:numPr>
          <w:ilvl w:val="0"/>
          <w:numId w:val="1027"/>
        </w:numPr>
        <w:pStyle w:val="Compact"/>
      </w:pPr>
      <w:r>
        <w:t xml:space="preserve">☐ No</w:t>
      </w:r>
      <w:r>
        <w:t xml:space="preserve"> </w:t>
      </w:r>
      <w:r>
        <w:rPr>
          <w:rStyle w:val="VerbatimChar"/>
        </w:rPr>
        <w:t xml:space="preserve">[TEAM</w:t>
      </w:r>
      <w:r>
        <w:t xml:space="preserve">,</w:t>
      </w:r>
      <w:r>
        <w:t xml:space="preserve"> </w:t>
      </w:r>
      <w:r>
        <w:rPr>
          <w:rStyle w:val="VerbatimChar"/>
        </w:rPr>
        <w:t xml:space="preserve">[MISSING</w:t>
      </w:r>
      <w:r>
        <w:t xml:space="preserve"> </w:t>
      </w:r>
      <w:r>
        <w:t xml:space="preserve">or</w:t>
      </w:r>
      <w:r>
        <w:t xml:space="preserve"> </w:t>
      </w:r>
      <w:r>
        <w:rPr>
          <w:rStyle w:val="VerbatimChar"/>
        </w:rPr>
        <w:t xml:space="preserve">{{</w:t>
      </w:r>
      <w:r>
        <w:t xml:space="preserve"> </w:t>
      </w:r>
      <w:r>
        <w:t xml:space="preserve">left</w:t>
      </w:r>
    </w:p>
    <w:p>
      <w:pPr>
        <w:numPr>
          <w:ilvl w:val="0"/>
          <w:numId w:val="1027"/>
        </w:numPr>
        <w:pStyle w:val="Compact"/>
      </w:pPr>
      <w:r>
        <w:t xml:space="preserve">☐ Course AI-assistance disclosure added in the form your course requires</w:t>
      </w:r>
    </w:p>
    <w:p>
      <w:pPr>
        <w:numPr>
          <w:ilvl w:val="0"/>
          <w:numId w:val="1027"/>
        </w:numPr>
        <w:pStyle w:val="Compact"/>
      </w:pPr>
      <w:r>
        <w:t xml:space="preserve">☐ PDF exported and read once more</w:t>
      </w:r>
    </w:p>
    <w:bookmarkEnd w:id="50"/>
    <w:sectPr>
      <w:footerReference w:type="default" r:id="rId9"/>
      <w:pgSz w:w="11906" w:h="16838"/>
      <w:pgMar w:left="1247" w:right="1247" w:top="1247" w:bottom="12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cs="Times New Roman" w:eastAsia="Times New Roman"/>
      <w:sz w:val="22"/>
    </w:rPr>
  </w:style>
  <w:style w:styleId="BodyText" w:type="paragraph">
    <w:name w:val="Body Text"/>
    <w:basedOn w:val="Normal"/>
    <w:link w:val="BodyTextChar"/>
    <w:pPr>
      <w:spacing w:after="120" w:before="0" w:line="259" w:lineRule="auto"/>
    </w:pPr>
    <w:qFormat/>
    <w:rPr>
      <w:rFonts w:ascii="Times New Roman" w:hAnsi="Times New Roman" w:cs="Times New Roman" w:eastAsia="Times New Roman"/>
      <w:sz w:val="22"/>
    </w:rPr>
  </w:style>
  <w:style w:customStyle="1" w:styleId="FirstParagraph" w:type="paragraph">
    <w:name w:val="First Paragraph"/>
    <w:basedOn w:val="BodyText"/>
    <w:next w:val="BodyText"/>
    <w:qFormat/>
    <w:pPr>
      <w:spacing w:before="0" w:after="120" w:line="259" w:lineRule="auto"/>
    </w:pPr>
    <w:rPr>
      <w:rFonts w:ascii="Times New Roman" w:hAnsi="Times New Roman" w:cs="Times New Roman" w:eastAsia="Times New Roman"/>
      <w:sz w:val="22"/>
    </w:rPr>
  </w:style>
  <w:style w:customStyle="1" w:styleId="Compact" w:type="paragraph">
    <w:name w:val="Compact"/>
    <w:basedOn w:val="BodyText"/>
    <w:qFormat/>
    <w:pPr>
      <w:spacing w:after="40" w:before="0" w:line="259" w:lineRule="auto"/>
    </w:pPr>
    <w:rPr>
      <w:rFonts w:ascii="Times New Roman" w:hAnsi="Times New Roman" w:cs="Times New Roman" w:eastAsia="Times New Roman"/>
      <w:sz w:val="22"/>
    </w:rPr>
  </w:style>
  <w:style w:styleId="Title" w:type="paragraph">
    <w:name w:val="Title"/>
    <w:basedOn w:val="Normal"/>
    <w:next w:val="BodyText"/>
    <w:qFormat/>
    <w:pPr>
      <w:keepNext/>
      <w:keepLines/>
      <w:spacing w:after="240" w:before="480"/>
      <w:jc w:val="center"/>
    </w:pPr>
    <w:rPr>
      <w:rFonts w:ascii="Times New Roman" w:hAnsi="Times New Roman" w:cs="Times New Roman" w:eastAsia="Times New Roman"/>
      <w:b/>
      <w:bCs/>
      <w:color w:val="000000"/>
      <w:sz w:val="40"/>
      <w:szCs w:val="36"/>
    </w:rPr>
  </w:style>
  <w:style w:styleId="Subtitle" w:type="paragraph">
    <w:name w:val="Subtitle"/>
    <w:basedOn w:val="Title"/>
    <w:next w:val="BodyText"/>
    <w:qFormat/>
    <w:pPr>
      <w:keepNext/>
      <w:keepLines/>
      <w:spacing w:after="240" w:before="240"/>
      <w:jc w:val="center"/>
    </w:pPr>
    <w:rPr>
      <w:rFonts w:ascii="Times New Roman" w:hAnsi="Times New Roman" w:cs="Times New Roman" w:eastAsia="Times New Roman"/>
      <w:i/>
      <w:color w:val="000000"/>
      <w:sz w:val="24"/>
      <w:szCs w:val="30"/>
    </w:rPr>
  </w:style>
  <w:style w:customStyle="1" w:styleId="Author" w:type="paragraph">
    <w:name w:val="Author"/>
    <w:next w:val="BodyText"/>
    <w:qFormat/>
    <w:pPr>
      <w:keepNext/>
      <w:keepLines/>
      <w:jc w:val="center"/>
    </w:pPr>
    <w:rPr>
      <w:rFonts w:ascii="Times New Roman" w:hAnsi="Times New Roman" w:cs="Times New Roman" w:eastAsia="Times New Roman"/>
      <w:i w:val="0"/>
      <w:color w:val="000000"/>
      <w:sz w:val="23"/>
    </w:rPr>
  </w:style>
  <w:style w:styleId="Date" w:type="paragraph">
    <w:name w:val="Date"/>
    <w:next w:val="BodyText"/>
    <w:qFormat/>
    <w:pPr>
      <w:keepNext/>
      <w:keepLines/>
      <w:jc w:val="center"/>
    </w:pPr>
    <w:rPr>
      <w:rFonts w:ascii="Times New Roman" w:hAnsi="Times New Roman" w:cs="Times New Roman" w:eastAsia="Times New Roman"/>
      <w:i w:val="0"/>
      <w:color w:val="000000"/>
      <w:sz w:val="21"/>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80" w:before="280"/>
      <w:outlineLvl w:val="0"/>
    </w:pPr>
    <w:rPr>
      <w:rFonts w:ascii="Times New Roman" w:hAnsi="Times New Roman" w:cs="Times New Roman" w:eastAsia="Times New Roman"/>
      <w:b/>
      <w:bCs/>
      <w:i w:val="0"/>
      <w:color w:val="000000"/>
      <w:sz w:val="30"/>
      <w:szCs w:val="32"/>
    </w:rPr>
  </w:style>
  <w:style w:styleId="Heading2" w:type="paragraph">
    <w:name w:val="Heading 2"/>
    <w:basedOn w:val="Normal"/>
    <w:next w:val="BodyText"/>
    <w:uiPriority w:val="9"/>
    <w:unhideWhenUsed/>
    <w:qFormat/>
    <w:pPr>
      <w:keepNext/>
      <w:keepLines/>
      <w:spacing w:after="80" w:before="200"/>
      <w:outlineLvl w:val="1"/>
    </w:pPr>
    <w:rPr>
      <w:rFonts w:ascii="Times New Roman" w:hAnsi="Times New Roman" w:cs="Times New Roman" w:eastAsia="Times New Roman"/>
      <w:b/>
      <w:bCs/>
      <w:i w:val="0"/>
      <w:color w:val="000000"/>
      <w:sz w:val="26"/>
      <w:szCs w:val="28"/>
    </w:rPr>
  </w:style>
  <w:style w:styleId="Heading3" w:type="paragraph">
    <w:name w:val="Heading 3"/>
    <w:basedOn w:val="Normal"/>
    <w:next w:val="BodyText"/>
    <w:uiPriority w:val="9"/>
    <w:unhideWhenUsed/>
    <w:qFormat/>
    <w:pPr>
      <w:keepNext/>
      <w:keepLines/>
      <w:spacing w:after="80" w:before="200"/>
      <w:outlineLvl w:val="2"/>
    </w:pPr>
    <w:rPr>
      <w:rFonts w:ascii="Times New Roman" w:hAnsi="Times New Roman" w:cs="Times New Roman" w:eastAsia="Times New Roman"/>
      <w:b/>
      <w:bCs/>
      <w:i w:val="0"/>
      <w:color w:val="000000"/>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0" w:line="259" w:lineRule="auto"/>
      <w:ind w:firstLine="0" w:left="480" w:right="480"/>
    </w:pPr>
    <w:rPr>
      <w:rFonts w:ascii="Times New Roman" w:hAnsi="Times New Roman" w:cs="Times New Roman" w:eastAsia="Times New Roman"/>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60" w:before="60"/>
    </w:pPr>
    <w:rPr>
      <w:rFonts w:ascii="Times New Roman" w:hAnsi="Times New Roman" w:cs="Times New Roman" w:eastAsia="Times New Roman"/>
      <w:b w:val="0"/>
      <w:i w:val="0"/>
      <w:color w:val="000000"/>
      <w:sz w:val="19"/>
    </w:rPr>
  </w:style>
  <w:style w:customStyle="1" w:styleId="TableCaption" w:type="paragraph">
    <w:name w:val="Table Caption"/>
    <w:basedOn w:val="Caption"/>
    <w:pPr>
      <w:keepNext/>
      <w:spacing w:before="60" w:after="60"/>
    </w:pPr>
    <w:rPr>
      <w:rFonts w:ascii="Times New Roman" w:hAnsi="Times New Roman" w:cs="Times New Roman" w:eastAsia="Times New Roman"/>
      <w:b w:val="0"/>
      <w:i w:val="0"/>
      <w:color w:val="000000"/>
      <w:sz w:val="19"/>
    </w:rPr>
  </w:style>
  <w:style w:customStyle="1" w:styleId="ImageCaption" w:type="paragraph">
    <w:name w:val="Image Caption"/>
    <w:basedOn w:val="Caption"/>
    <w:pPr>
      <w:spacing w:before="60" w:after="160"/>
    </w:pPr>
    <w:rPr>
      <w:rFonts w:ascii="Times New Roman" w:hAnsi="Times New Roman" w:cs="Times New Roman" w:eastAsia="Times New Roman"/>
      <w:b w:val="0"/>
      <w:i w:val="0"/>
      <w:color w:val="000000"/>
      <w:sz w:val="19"/>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urier New" w:hAnsi="Courier New" w:cs="Courier New" w:eastAsia="Courier New"/>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pacing w:before="0" w:after="0"/>
    </w:pPr>
    <w:rPr>
      <w:rFonts w:ascii="Courier New" w:hAnsi="Courier New" w:cs="Courier New" w:eastAsia="Courier New"/>
      <w:sz w:val="16"/>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LexFront Review 1: Screenshot Guide and Finalization Guide</dc:title>
  <dc:creator/>
  <cp:keywords/>
  <dcterms:created xsi:type="dcterms:W3CDTF">2026-10-16T11:05:20Z</dcterms:created>
  <dcterms:modified xsi:type="dcterms:W3CDTF">2026-10-16T11:05:20Z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What to capture, how to run it, and how to make the report your own</vt:lpwstr>
  </property>
</Properties>
</file>