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DFA-Based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and it runs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we used it for our reference lexer.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runs four classes (EMOTICON, HASHTAG, MENTION and WORD), and a test checks that it produces the same tokens as the PLY lexer on those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DFA-style scanner is not a bottleneck. On the subword side (Figure 5 and Table 8) no learned tokenizer is clearly better than NLTK in accuracy. Taken together, the dataset and classifier matter much more than the choice of tokenizer in this setting.</w:t>
      </w:r>
    </w:p>
    <w:p>
      <w:pPr>
        <w:pStyle w:val="Heading2"/>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17e227aa8ce50bc26d2c689cf1c19f784cee951.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d8b0a961da74c4d7fc20d158525d015d154e287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2026-10-20T07:31:41.261Z</dcterms:created>
  <dcterms:modified xsi:type="dcterms:W3CDTF">2026-10-20T07:31:41.261Z</dcterms:modified>
</cp:coreProperties>
</file>

<file path=docProps/custom.xml><?xml version="1.0" encoding="utf-8"?>
<Properties xmlns="http://schemas.openxmlformats.org/officeDocument/2006/custom-properties" xmlns:vt="http://schemas.openxmlformats.org/officeDocument/2006/docPropsVTypes"/>
</file>