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Review 2 Report</w:t>
      </w:r>
    </w:p>
    <w:p>
      <w:pPr>
        <w:pStyle w:val="Heading1"/>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against whitespace splitting, NLTK and TweetTokenizer, and against BPE, WordPiece and Unigram subword tokenizers, with the classifier kept the same each time. The tests used three datasets (tweet_topic, go_emotions and ag_news) with Naive Bayes and Logistic Regression.</w:t>
      </w:r>
    </w:p>
    <w:p>
      <w:pPr>
        <w:spacing w:after="160" w:line="320"/>
        <w:jc w:val="both"/>
      </w:pPr>
      <w:r>
        <w:rPr>
          <w:rFonts w:ascii="Times New Roman" w:cs="Times New Roman" w:eastAsia="Times New Roman" w:hAnsi="Times New Roman"/>
          <w:sz w:val="24"/>
          <w:szCs w:val="24"/>
        </w:rPr>
        <w:t xml:space="preserve">The results are mixed, and we report them that way. With the tokenizer as the only change, LexFront matches NLTK on go_emotions and ag_news and is 1.59 accuracy points lower on tweet_topic. Most of the apparent gain over the existing Naive Bayes setup comes from switching to Logistic Regression and not from the tokenizer. LexFront does give the lowest out-of-vocabulary rate and the smallest vocabulary among the word-level tokenizers, and its lowercase rule turns out to be the one that matters when case is kept. The subword variants did not beat the NLTK baseline in accuracy.</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three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The report follows the structure asked for in Review 2. Section 2 reviews the literature, Section 3 describes the proposed system and its four modules, Section 4 gives the implementation and results, Section 5 compares performance, and Section 6 concludes.</w:t>
      </w:r>
    </w:p>
    <w:p>
      <w:pPr>
        <w:pStyle w:val="Heading1"/>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spacing w:after="140" w:before="320"/>
      </w:pPr>
      <w:r>
        <w:rPr>
          <w:rFonts w:ascii="Times New Roman" w:cs="Times New Roman" w:eastAsia="Times New Roman" w:hAnsi="Times New Roman"/>
          <w:b/>
          <w:bCs/>
          <w:sz w:val="30"/>
          <w:szCs w:val="30"/>
        </w:rPr>
        <w:t xml:space="preserve">3. Proposed System</w:t>
      </w:r>
    </w:p>
    <w:p>
      <w:pPr>
        <w:pStyle w:val="Heading2"/>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four modules. Module 1 is the existing methodology that serves as the baseline. Module 2 is the LexFront lexer and our DFA engine. Module 3 is the normalizer and symbol table together with the ablation of its rules. Module 4 is the subword stage, which includes the LexFront + BPE hybrid and the comparison with WordPiece and Unigram. Modules 2, 3 and 4 are the new contribution, and we give pseudocode for each of them.</w:t>
      </w:r>
    </w:p>
    <w:p>
      <w:pPr>
        <w:pStyle w:val="Heading2"/>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384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four modules</w:t>
      </w:r>
    </w:p>
    <w:p>
      <w:pPr>
        <w:pStyle w:val="Heading2"/>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1"/>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All results are on full data with no subsampling, one training run per cell. The 95% confidence intervals are paired percentile bootstraps over the test examples, with McNemar's test for accuracy. They cover the draw of the test set, not training randomness, since each cell is a single run.</w:t>
      </w:r>
    </w:p>
    <w:p>
      <w:pPr>
        <w:pStyle w:val="Heading2"/>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three English datasets that differ in style and size. tweet_topic [40] has tweets labelled with six topics. go_emotions [41] has Reddit comments labelled with 28 emotion classes, and we kept only the single-label examples. ag_news [42] has news articles in four categories. The first two are noisy and informal, while ag_news is relatively clean, which gives us a useful contrast. The last column of Table 1 is the share of the largest class in the test set, which is also the accuracy of the majority baseline.</w:t>
      </w:r>
    </w:p>
    <w:p>
      <w:pPr>
        <w:keepNext/>
        <w:spacing w:after="80" w:before="120"/>
        <w:jc w:val="center"/>
      </w:pPr>
      <w:r>
        <w:rPr>
          <w:rFonts w:ascii="Times New Roman" w:cs="Times New Roman" w:eastAsia="Times New Roman" w:hAnsi="Times New Roman"/>
          <w:i/>
          <w:iCs/>
          <w:sz w:val="20"/>
          <w:szCs w:val="20"/>
        </w:rPr>
        <w:t xml:space="preserve">Table 1. Datasets used (results/datasets.json)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1200"/>
        <w:gridCol w:w="8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 docs</w:t>
            </w:r>
          </w:p>
        </w:tc>
        <w:tc>
          <w:tcPr>
            <w:tcW w:type="dxa" w:w="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Labels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Largest test class %</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3,399</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4,590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7,600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4953000" cy="1800225"/>
            <wp:effectExtent t="0" r="0" b="0" l="0"/>
            <wp:docPr id="1" name="/home/user/lexfront-dfa-tokenizer/results/figures/module1_accuracy.png" descr="/home/user/lexfront-dfa-tokenizer/results/figures/module1_accuracy.png" title="/home/user/lexfront-dfa-tokenizer/results/figures/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(results/figures/module1_accuracy.png)</w:t>
      </w:r>
    </w:p>
    <w:p>
      <w:pPr>
        <w:pStyle w:val="Heading2"/>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3810000" cy="2371725"/>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71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[-0.32, +0.33]</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1"/>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143500" cy="1866900"/>
            <wp:effectExtent t="0" r="0" b="0" l="0"/>
            <wp:docPr id="1" name="/home/user/lexfront-dfa-tokenizer/results/figures/existing_vs_proposed.png" descr="/home/user/lexfront-dfa-tokenizer/results/figures/existing_vs_proposed.png" title="/home/user/lexfront-dfa-tokenizer/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669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9 shows where that comes from.</w:t>
      </w:r>
    </w:p>
    <w:p>
      <w:pPr>
        <w:pStyle w:val="Heading2"/>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9.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9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spacing w:after="100" w:before="220"/>
      </w:pPr>
      <w:r>
        <w:rPr>
          <w:rFonts w:ascii="Times New Roman" w:cs="Times New Roman" w:eastAsia="Times New Roman" w:hAnsi="Times New Roman"/>
          <w:b/>
          <w:bCs/>
          <w:sz w:val="26"/>
          <w:szCs w:val="26"/>
        </w:rPr>
        <w:t xml:space="preserve">5.3 Intrinsic and subword comparison</w:t>
      </w:r>
    </w:p>
    <w:p>
      <w:pPr>
        <w:keepNext/>
        <w:spacing w:after="60" w:before="120"/>
        <w:jc w:val="center"/>
      </w:pPr>
      <w:r>
        <w:drawing>
          <wp:inline distT="0" distB="0" distL="0" distR="0">
            <wp:extent cx="5334000" cy="1524000"/>
            <wp:effectExtent t="0" r="0" b="0" l="0"/>
            <wp:docPr id="1" name="/home/user/lexfront-dfa-tokenizer/results/figures/intrinsic_metrics.png" descr="/home/user/lexfront-dfa-tokenizer/results/figures/intrinsic_metrics.png" title="/home/user/lexfront-dfa-tokenizer/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5240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OOV rate, fertility and vocabulary size by tokenizer (results/figures/intrinsic_metrics.png)</w:t>
      </w:r>
    </w:p>
    <w:p>
      <w:pPr>
        <w:spacing w:after="160" w:line="320"/>
        <w:jc w:val="both"/>
      </w:pPr>
      <w:r>
        <w:rPr>
          <w:rFonts w:ascii="Times New Roman" w:cs="Times New Roman" w:eastAsia="Times New Roman" w:hAnsi="Times New Roman"/>
          <w:sz w:val="24"/>
          <w:szCs w:val="24"/>
        </w:rPr>
        <w:t xml:space="preserve">On the intrinsic side, LexFront has the best OOV rate and vocabulary size among the word-level tokenizers, with fertility close to the others. Throughput is in the same range as NLTK's, from about 0.84 times NLTK's speed on ag_news to 1.48 times on go_emotions on our machine, so the lexer is not a bottleneck. On the subword side (Figure 5 and Table 8) no learned tokenizer is clearly better than NLTK in accuracy. Taken together, the dataset and classifier matter much more than the choice of tokenizer in this setting.</w:t>
      </w:r>
    </w:p>
    <w:p>
      <w:pPr>
        <w:pStyle w:val="Heading2"/>
        <w:spacing w:after="100" w:before="220"/>
      </w:pPr>
      <w:r>
        <w:rPr>
          <w:rFonts w:ascii="Times New Roman" w:cs="Times New Roman" w:eastAsia="Times New Roman" w:hAnsi="Times New Roman"/>
          <w:b/>
          <w:bCs/>
          <w:sz w:val="26"/>
          <w:szCs w:val="26"/>
        </w:rPr>
        <w:t xml:space="preserve">5.4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We ran many comparisons and did not correct for multiple testing, which is why we mention that 6 of 42 interval comparisons in the rule ablation exclude 0 when about 2 would be expected by chance. There are only three datasets and one family of classifiers, so we cannot say anything about neural models, other languages or code-mixed text. All reasons we give for why a difference appears are hypotheses, not tested conclusions.</w:t>
      </w:r>
    </w:p>
    <w:p>
      <w:pPr>
        <w:pStyle w:val="Heading1"/>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so far is that a compiler-style lexer is competitive but not better. With the tokenizer as the only change, LexFront matches NLTK on go_emotions and ag_news and is 1.59 points lower on tweet_topic. It does produce a smaller vocabulary and a lower out-of-vocabulary rate, and its lowercase rule is what gives it an edge when case is kept. Most of the gain over the existing Naive Bayes setup comes from the classifier. The hybrid with BPE and the WordPiece and Unigram runs did not improve on the word-level baseline.</w:t>
      </w:r>
    </w:p>
    <w:p>
      <w:pPr>
        <w:spacing w:after="160" w:line="320"/>
        <w:jc w:val="both"/>
      </w:pPr>
      <w:r>
        <w:rPr>
          <w:rFonts w:ascii="Times New Roman" w:cs="Times New Roman" w:eastAsia="Times New Roman" w:hAnsi="Times New Roman"/>
          <w:sz w:val="24"/>
          <w:szCs w:val="24"/>
        </w:rPr>
        <w:t xml:space="preserve">There is still work to do before the final review. We want to test LexFront at a larger scale and with wider classifier settings, and to finish the report and the demo. Those results will tell us whether the picture above holds up, and we will report them in the same careful way, including the cases where LexFront does not win.</w:t>
      </w:r>
    </w:p>
    <w:p>
      <w:r>
        <w:br w:type="page"/>
      </w:r>
    </w:p>
    <w:p>
      <w:pPr>
        <w:pStyle w:val="Heading1"/>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17e227aa8ce50bc26d2c689cf1c19f784cee951.png"/><Relationship Id="rId9" Type="http://schemas.openxmlformats.org/officeDocument/2006/relationships/image" Target="media/4d9b2cab445a4ba00e01109586e71f30f2b66bf5.png"/><Relationship Id="rId10" Type="http://schemas.openxmlformats.org/officeDocument/2006/relationships/image" Target="media/3d2c83525c3a3bd27967f77737806600ff029456.png"/><Relationship Id="rId11" Type="http://schemas.openxmlformats.org/officeDocument/2006/relationships/image" Target="media/c7a843140b3cca0fb3e39f3f21899765cc76f13c.png"/><Relationship Id="rId12" Type="http://schemas.openxmlformats.org/officeDocument/2006/relationships/image" Target="media/fbf5bc280808f08ab11816ad2757021e91eaf723.png"/><Relationship Id="rId13" Type="http://schemas.openxmlformats.org/officeDocument/2006/relationships/image" Target="media/4813f06adeb36a841938c106127b26e7346268eb.png"/><Relationship Id="rId14" Type="http://schemas.openxmlformats.org/officeDocument/2006/relationships/image" Target="media/d8b0a961da74c4d7fc20d158525d015d154e287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2026-10-22T20:36:24.420Z</dcterms:created>
  <dcterms:modified xsi:type="dcterms:W3CDTF">2026-10-22T20:36:24.424Z</dcterms:modified>
</cp:coreProperties>
</file>

<file path=docProps/custom.xml><?xml version="1.0" encoding="utf-8"?>
<Properties xmlns="http://schemas.openxmlformats.org/officeDocument/2006/custom-properties" xmlns:vt="http://schemas.openxmlformats.org/officeDocument/2006/docPropsVTypes"/>
</file>