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sz w:val="28"/>
          <w:szCs w:val="28"/>
        </w:rPr>
        <w:t xml:space="preserve">LexFront final review: 1-page cheat sheet</w:t>
      </w:r>
    </w:p>
    <w:p>
      <w:pPr>
        <w:spacing w:after="40"/>
      </w:pPr>
      <w:r>
        <w:rPr>
          <w:rFonts w:ascii="Calibri" w:cs="Calibri" w:eastAsia="Calibri" w:hAnsi="Calibri"/>
          <w:i/>
          <w:iCs/>
          <w:sz w:val="17"/>
          <w:szCs w:val="17"/>
        </w:rPr>
        <w:t xml:space="preserve">Pages refer to LexFront_Final_Report.docx (27 pages; check against your Word copy). Aim: 5 to 7 minutes.</w:t>
      </w:r>
    </w:p>
    <w:p>
      <w:pPr>
        <w:keepNext/>
        <w:pBdr>
          <w:bottom w:val="single" w:color="4A86C5" w:sz="4" w:space="1"/>
        </w:pBdr>
        <w:spacing w:after="30" w:before="90"/>
      </w:pPr>
      <w:r>
        <w:rPr>
          <w:rFonts w:ascii="Calibri" w:cs="Calibri" w:eastAsia="Calibri" w:hAnsi="Calibri"/>
          <w:b/>
          <w:bCs/>
          <w:color w:val="1F4E79"/>
          <w:sz w:val="21"/>
          <w:szCs w:val="21"/>
        </w:rPr>
        <w:t xml:space="preserve">Opening line (30 s)</w:t>
      </w:r>
    </w:p>
    <w:p>
      <w:pPr>
        <w:spacing w:after="20"/>
      </w:pPr>
      <w:r>
        <w:rPr>
          <w:rFonts w:ascii="Calibri" w:cs="Calibri" w:eastAsia="Calibri" w:hAnsi="Calibri"/>
          <w:i/>
          <w:iCs/>
          <w:sz w:val="19"/>
          <w:szCs w:val="19"/>
        </w:rPr>
        <w:t xml:space="preserve">"Our project asks whether a tokenizer built the way a compiler builds its lexer helps classify messy social media text. We built LexFront and compared it fairly with existing tokenizers on twelve datasets. It is competitive, but not better."</w:t>
      </w:r>
    </w:p>
    <w:p>
      <w:pPr>
        <w:keepNext/>
        <w:pBdr>
          <w:bottom w:val="single" w:color="4A86C5" w:sz="4" w:space="1"/>
        </w:pBdr>
        <w:spacing w:after="30" w:before="90"/>
      </w:pPr>
      <w:r>
        <w:rPr>
          <w:rFonts w:ascii="Calibri" w:cs="Calibri" w:eastAsia="Calibri" w:hAnsi="Calibri"/>
          <w:b/>
          <w:bCs/>
          <w:color w:val="1F4E79"/>
          <w:sz w:val="21"/>
          <w:szCs w:val="21"/>
        </w:rPr>
        <w:t xml:space="preserve">Explain in this order</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5000"/>
      </w:tblGrid>
      <w:tr>
        <w:tc>
          <w:tcPr>
            <w:tcW w:type="dxa" w:w="1500"/>
            <w:tcBorders>
              <w:top w:val="single" w:color="999999" w:sz="4"/>
              <w:left w:val="single" w:color="999999" w:sz="4"/>
              <w:bottom w:val="single" w:color="999999" w:sz="4"/>
              <w:right w:val="single" w:color="999999" w:sz="4"/>
            </w:tcBorders>
            <w:shd w:fill="E7E6E6" w:color="auto" w:val="clear"/>
            <w:tcMar>
              <w:top w:type="dxa" w:w="20"/>
              <w:left w:type="dxa" w:w="60"/>
              <w:bottom w:type="dxa" w:w="20"/>
              <w:right w:type="dxa" w:w="60"/>
            </w:tcMar>
          </w:tcPr>
          <w:p>
            <w:r>
              <w:rPr>
                <w:rFonts w:ascii="Calibri" w:cs="Calibri" w:eastAsia="Calibri" w:hAnsi="Calibri"/>
                <w:b/>
                <w:bCs/>
                <w:sz w:val="18"/>
                <w:szCs w:val="18"/>
              </w:rPr>
              <w:t xml:space="preserve">Page</w:t>
            </w:r>
          </w:p>
        </w:tc>
        <w:tc>
          <w:tcPr>
            <w:tcW w:type="dxa" w:w="4000"/>
            <w:tcBorders>
              <w:top w:val="single" w:color="999999" w:sz="4"/>
              <w:left w:val="single" w:color="999999" w:sz="4"/>
              <w:bottom w:val="single" w:color="999999" w:sz="4"/>
              <w:right w:val="single" w:color="999999" w:sz="4"/>
            </w:tcBorders>
            <w:shd w:fill="E7E6E6" w:color="auto" w:val="clear"/>
            <w:tcMar>
              <w:top w:type="dxa" w:w="20"/>
              <w:left w:type="dxa" w:w="60"/>
              <w:bottom w:type="dxa" w:w="20"/>
              <w:right w:type="dxa" w:w="60"/>
            </w:tcMar>
          </w:tcPr>
          <w:p>
            <w:r>
              <w:rPr>
                <w:rFonts w:ascii="Calibri" w:cs="Calibri" w:eastAsia="Calibri" w:hAnsi="Calibri"/>
                <w:b/>
                <w:bCs/>
                <w:sz w:val="18"/>
                <w:szCs w:val="18"/>
              </w:rPr>
              <w:t xml:space="preserve">Show</w:t>
            </w:r>
          </w:p>
        </w:tc>
        <w:tc>
          <w:tcPr>
            <w:tcW w:type="dxa" w:w="5000"/>
            <w:tcBorders>
              <w:top w:val="single" w:color="999999" w:sz="4"/>
              <w:left w:val="single" w:color="999999" w:sz="4"/>
              <w:bottom w:val="single" w:color="999999" w:sz="4"/>
              <w:right w:val="single" w:color="999999" w:sz="4"/>
            </w:tcBorders>
            <w:shd w:fill="E7E6E6" w:color="auto" w:val="clear"/>
            <w:tcMar>
              <w:top w:type="dxa" w:w="20"/>
              <w:left w:type="dxa" w:w="60"/>
              <w:bottom w:type="dxa" w:w="20"/>
              <w:right w:type="dxa" w:w="60"/>
            </w:tcMar>
          </w:tcPr>
          <w:p>
            <w:r>
              <w:rPr>
                <w:rFonts w:ascii="Calibri" w:cs="Calibri" w:eastAsia="Calibri" w:hAnsi="Calibri"/>
                <w:b/>
                <w:bCs/>
                <w:sz w:val="18"/>
                <w:szCs w:val="18"/>
              </w:rPr>
              <w:t xml:space="preserve">Say</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p1</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Abstract</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We asked if a compiler-style lexer helps on messy text. Answer: competitive, not better.</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p5</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Fig 1 architecture</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Only the tokenizer changes; TF-IDF, classifier, metrics fixed. 5 modules.</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p6</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Module 2 pseudocode</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Regex, NFA, DFA, minimized DFA, longest-match scanner, UNKNOWN recovery. Experiments run on PLY; our engine is checked against it.</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p12-13</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Table 3, Fig 3 (DFA)</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43 NFA, 12 DFA, 10 minimized. Trace #hi: q0, q1 on #, q6 on h and i, accepts HASHTAG.</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p13-14</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Tables 4, 5</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Lowest OOV, smallest vocabulary (partly by design). +17.58 on go_emotions.</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p20</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Table 13</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That gain is the classifier (NB to LR), not the tokenizer. Tokenizer only: matches NLTK; -1.59 on tweet_topic.</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p14-15</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Tables 6-8</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Only lowercase rule matters (when case is kept). BPE, WordPiece, Unigram, hybrid: no gain.</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p17-19</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Tables 10-12</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Large runs: Sentiment140 1.6M, Civil, Amazon, Yelp. LexFront minus NLTK: +0.11, 0.00, +0.46, +0.07 (margin +-0.5).</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p21</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Fig 7 forest plot</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All 12 datasets: nothing clearly better or worse than NLTK once tuned.</w:t>
            </w:r>
          </w:p>
        </w:tc>
      </w:tr>
      <w:tr>
        <w:tc>
          <w:tcPr>
            <w:tcW w:type="dxa" w:w="15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p22-23</w:t>
            </w:r>
          </w:p>
        </w:tc>
        <w:tc>
          <w:tcPr>
            <w:tcW w:type="dxa" w:w="4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Tables 14, 15</w:t>
            </w:r>
          </w:p>
        </w:tc>
        <w:tc>
          <w:tcPr>
            <w:tcW w:type="dxa" w:w="5000"/>
            <w:tcBorders>
              <w:top w:val="single" w:color="999999" w:sz="4"/>
              <w:left w:val="single" w:color="999999" w:sz="4"/>
              <w:bottom w:val="single" w:color="999999" w:sz="4"/>
              <w:right w:val="single" w:color="999999" w:sz="4"/>
            </w:tcBorders>
            <w:tcMar>
              <w:top w:type="dxa" w:w="20"/>
              <w:left w:type="dxa" w:w="60"/>
              <w:bottom w:type="dxa" w:w="20"/>
              <w:right w:type="dxa" w:w="60"/>
            </w:tcMar>
          </w:tcPr>
          <w:p>
            <w:r>
              <w:rPr>
                <w:rFonts w:ascii="Calibri" w:cs="Calibri" w:eastAsia="Calibri" w:hAnsi="Calibri"/>
                <w:b w:val="false"/>
                <w:bCs w:val="false"/>
                <w:sz w:val="18"/>
                <w:szCs w:val="18"/>
              </w:rPr>
              <w:t xml:space="preserve">Tuning moves accuracy 2-3 pts, tokenizer under 0.5. Several own hypotheses failed; we report them.</w:t>
            </w:r>
          </w:p>
        </w:tc>
      </w:tr>
    </w:tbl>
    <w:p>
      <w:pPr>
        <w:keepNext/>
        <w:pBdr>
          <w:bottom w:val="single" w:color="4A86C5" w:sz="4" w:space="1"/>
        </w:pBdr>
        <w:spacing w:after="30" w:before="90"/>
      </w:pPr>
      <w:r>
        <w:rPr>
          <w:rFonts w:ascii="Calibri" w:cs="Calibri" w:eastAsia="Calibri" w:hAnsi="Calibri"/>
          <w:b/>
          <w:bCs/>
          <w:color w:val="1F4E79"/>
          <w:sz w:val="21"/>
          <w:szCs w:val="21"/>
        </w:rPr>
        <w:t xml:space="preserve">Demo (3 to 4 min): LexFront_Review1 notebook, quick mode</w:t>
      </w:r>
    </w:p>
    <w:p>
      <w:pPr>
        <w:pStyle w:val="ListParagraph"/>
        <w:numPr>
          <w:ilvl w:val="0"/>
          <w:numId w:val="2"/>
        </w:numPr>
        <w:spacing w:after="14" w:line="230"/>
      </w:pPr>
      <w:r>
        <w:rPr>
          <w:rFonts w:ascii="Calibri" w:cs="Calibri" w:eastAsia="Calibri" w:hAnsi="Calibri"/>
          <w:b/>
          <w:bCs/>
          <w:sz w:val="19"/>
          <w:szCs w:val="19"/>
        </w:rPr>
        <w:t xml:space="preserve">Before talking: </w:t>
      </w:r>
      <w:r>
        <w:rPr>
          <w:rFonts w:ascii="Calibri" w:cs="Calibri" w:eastAsia="Calibri" w:hAnsi="Calibri"/>
          <w:sz w:val="19"/>
          <w:szCs w:val="19"/>
        </w:rPr>
        <w:t xml:space="preserve">open the Colab badge, Run all. Setup takes minutes.</w:t>
      </w:r>
    </w:p>
    <w:p>
      <w:pPr>
        <w:pStyle w:val="ListParagraph"/>
        <w:numPr>
          <w:ilvl w:val="0"/>
          <w:numId w:val="2"/>
        </w:numPr>
        <w:spacing w:after="14" w:line="230"/>
      </w:pPr>
      <w:r>
        <w:rPr>
          <w:rFonts w:ascii="Calibri" w:cs="Calibri" w:eastAsia="Calibri" w:hAnsi="Calibri"/>
          <w:b/>
          <w:bCs/>
          <w:sz w:val="19"/>
          <w:szCs w:val="19"/>
        </w:rPr>
        <w:t xml:space="preserve">Section 3: </w:t>
      </w:r>
      <w:r>
        <w:rPr>
          <w:rFonts w:ascii="Calibri" w:cs="Calibri" w:eastAsia="Calibri" w:hAnsi="Calibri"/>
          <w:sz w:val="19"/>
          <w:szCs w:val="19"/>
        </w:rPr>
        <w:t xml:space="preserve">tokenization table, symbol table, minimized DFA picture, UNKNOWN demo (the § character).</w:t>
      </w:r>
    </w:p>
    <w:p>
      <w:pPr>
        <w:pStyle w:val="ListParagraph"/>
        <w:numPr>
          <w:ilvl w:val="0"/>
          <w:numId w:val="2"/>
        </w:numPr>
        <w:spacing w:after="14" w:line="230"/>
      </w:pPr>
      <w:r>
        <w:rPr>
          <w:rFonts w:ascii="Calibri" w:cs="Calibri" w:eastAsia="Calibri" w:hAnsi="Calibri"/>
          <w:b/>
          <w:bCs/>
          <w:sz w:val="19"/>
          <w:szCs w:val="19"/>
        </w:rPr>
        <w:t xml:space="preserve">Section 6: </w:t>
      </w:r>
      <w:r>
        <w:rPr>
          <w:rFonts w:ascii="Calibri" w:cs="Calibri" w:eastAsia="Calibri" w:hAnsi="Calibri"/>
          <w:sz w:val="19"/>
          <w:szCs w:val="19"/>
        </w:rPr>
        <w:t xml:space="preserve">rule ablation. </w:t>
      </w:r>
      <w:r>
        <w:rPr>
          <w:rFonts w:ascii="Calibri" w:cs="Calibri" w:eastAsia="Calibri" w:hAnsi="Calibri"/>
          <w:b/>
          <w:bCs/>
          <w:sz w:val="19"/>
          <w:szCs w:val="19"/>
        </w:rPr>
        <w:t xml:space="preserve">Appendix: </w:t>
      </w:r>
      <w:r>
        <w:rPr>
          <w:rFonts w:ascii="Calibri" w:cs="Calibri" w:eastAsia="Calibri" w:hAnsi="Calibri"/>
          <w:sz w:val="19"/>
          <w:szCs w:val="19"/>
        </w:rPr>
        <w:t xml:space="preserve">full-data tables (quick numbers are a subsample). Close on p21 Fig 7 for large-scale results.</w:t>
      </w:r>
    </w:p>
    <w:p>
      <w:pPr>
        <w:pStyle w:val="ListParagraph"/>
        <w:numPr>
          <w:ilvl w:val="0"/>
          <w:numId w:val="2"/>
        </w:numPr>
        <w:spacing w:after="14" w:line="230"/>
      </w:pPr>
      <w:r>
        <w:rPr>
          <w:rFonts w:ascii="Calibri" w:cs="Calibri" w:eastAsia="Calibri" w:hAnsi="Calibri"/>
          <w:b/>
          <w:bCs/>
          <w:sz w:val="19"/>
          <w:szCs w:val="19"/>
        </w:rPr>
        <w:t xml:space="preserve">Backup: </w:t>
      </w:r>
      <w:r>
        <w:rPr>
          <w:rFonts w:ascii="Calibri" w:cs="Calibri" w:eastAsia="Calibri" w:hAnsi="Calibri"/>
          <w:sz w:val="19"/>
          <w:szCs w:val="19"/>
        </w:rPr>
        <w:t xml:space="preserve">screenshots of the table, DFA picture and report pages if Colab or the network fails.</w:t>
      </w:r>
    </w:p>
    <w:p>
      <w:pPr>
        <w:keepNext/>
        <w:pBdr>
          <w:bottom w:val="single" w:color="4A86C5" w:sz="4" w:space="1"/>
        </w:pBdr>
        <w:spacing w:after="30" w:before="90"/>
      </w:pPr>
      <w:r>
        <w:rPr>
          <w:rFonts w:ascii="Calibri" w:cs="Calibri" w:eastAsia="Calibri" w:hAnsi="Calibri"/>
          <w:b/>
          <w:bCs/>
          <w:color w:val="1F4E79"/>
          <w:sz w:val="21"/>
          <w:szCs w:val="21"/>
        </w:rPr>
        <w:t xml:space="preserve">Numbers to remember</w:t>
      </w:r>
    </w:p>
    <w:p>
      <w:pPr>
        <w:pStyle w:val="ListParagraph"/>
        <w:numPr>
          <w:ilvl w:val="0"/>
          <w:numId w:val="2"/>
        </w:numPr>
        <w:spacing w:after="14" w:line="230"/>
      </w:pPr>
      <w:r>
        <w:rPr>
          <w:rFonts w:ascii="Calibri" w:cs="Calibri" w:eastAsia="Calibri" w:hAnsi="Calibri"/>
          <w:sz w:val="19"/>
          <w:szCs w:val="19"/>
        </w:rPr>
        <w:t xml:space="preserve">11 token classes | 4 classes in our DFA engine | 43 NFA, 12 DFA, 10 minimized | 6 normalization rules | 12 datasets | 42 references</w:t>
      </w:r>
    </w:p>
    <w:p>
      <w:pPr>
        <w:pStyle w:val="ListParagraph"/>
        <w:numPr>
          <w:ilvl w:val="0"/>
          <w:numId w:val="2"/>
        </w:numPr>
        <w:spacing w:after="14" w:line="230"/>
      </w:pPr>
      <w:r>
        <w:rPr>
          <w:rFonts w:ascii="Calibri" w:cs="Calibri" w:eastAsia="Calibri" w:hAnsi="Calibri"/>
          <w:sz w:val="19"/>
          <w:szCs w:val="19"/>
        </w:rPr>
        <w:t xml:space="preserve">Best settings, LR, LexFront minus NLTK: Sentiment140 +0.11, Civil Comments 0.00, Amazon +0.46, Yelp +0.07. Char n-grams were 2.74 points below LexFront.</w:t>
      </w:r>
    </w:p>
    <w:p>
      <w:pPr>
        <w:keepNext/>
        <w:pBdr>
          <w:bottom w:val="single" w:color="4A86C5" w:sz="4" w:space="1"/>
        </w:pBdr>
        <w:spacing w:after="30" w:before="90"/>
      </w:pPr>
      <w:r>
        <w:rPr>
          <w:rFonts w:ascii="Calibri" w:cs="Calibri" w:eastAsia="Calibri" w:hAnsi="Calibri"/>
          <w:b/>
          <w:bCs/>
          <w:color w:val="1F4E79"/>
          <w:sz w:val="21"/>
          <w:szCs w:val="21"/>
        </w:rPr>
        <w:t xml:space="preserve">Rules</w:t>
      </w:r>
    </w:p>
    <w:p>
      <w:pPr>
        <w:pStyle w:val="ListParagraph"/>
        <w:numPr>
          <w:ilvl w:val="0"/>
          <w:numId w:val="2"/>
        </w:numPr>
        <w:spacing w:after="14" w:line="230"/>
      </w:pPr>
      <w:r>
        <w:rPr>
          <w:rFonts w:ascii="Calibri" w:cs="Calibri" w:eastAsia="Calibri" w:hAnsi="Calibri"/>
          <w:b/>
          <w:bCs/>
          <w:sz w:val="19"/>
          <w:szCs w:val="19"/>
        </w:rPr>
        <w:t xml:space="preserve">Never say "better". </w:t>
      </w:r>
      <w:r>
        <w:rPr>
          <w:rFonts w:ascii="Calibri" w:cs="Calibri" w:eastAsia="Calibri" w:hAnsi="Calibri"/>
          <w:sz w:val="19"/>
          <w:szCs w:val="19"/>
        </w:rPr>
        <w:t xml:space="preserve">Say competitive, matches, lower OOV rate. If unsure: "we did not test that."</w:t>
      </w:r>
    </w:p>
    <w:p>
      <w:pPr>
        <w:pStyle w:val="ListParagraph"/>
        <w:numPr>
          <w:ilvl w:val="0"/>
          <w:numId w:val="2"/>
        </w:numPr>
        <w:spacing w:after="14" w:line="230"/>
      </w:pPr>
      <w:r>
        <w:rPr>
          <w:rFonts w:ascii="Calibri" w:cs="Calibri" w:eastAsia="Calibri" w:hAnsi="Calibri"/>
          <w:b/>
          <w:bCs/>
          <w:sz w:val="19"/>
          <w:szCs w:val="19"/>
        </w:rPr>
        <w:t xml:space="preserve">Be straight: </w:t>
      </w:r>
      <w:r>
        <w:rPr>
          <w:rFonts w:ascii="Calibri" w:cs="Calibri" w:eastAsia="Calibri" w:hAnsi="Calibri"/>
          <w:sz w:val="19"/>
          <w:szCs w:val="19"/>
        </w:rPr>
        <w:t xml:space="preserve">experiments run on PLY, our DFA engine is checked against it. If asked about AI use, say we used Claude Code as an assistant and can explain every part (see docs/AI_ASSISTED_DEVELOPMENT.md).</w:t>
      </w:r>
    </w:p>
    <w:p>
      <w:pPr>
        <w:pStyle w:val="ListParagraph"/>
        <w:numPr>
          <w:ilvl w:val="0"/>
          <w:numId w:val="2"/>
        </w:numPr>
        <w:spacing w:after="14" w:line="230"/>
      </w:pPr>
      <w:r>
        <w:rPr>
          <w:rFonts w:ascii="Calibri" w:cs="Calibri" w:eastAsia="Calibri" w:hAnsi="Calibri"/>
          <w:b/>
          <w:bCs/>
          <w:sz w:val="19"/>
          <w:szCs w:val="19"/>
        </w:rPr>
        <w:t xml:space="preserve">Limits (p23): </w:t>
      </w:r>
      <w:r>
        <w:rPr>
          <w:rFonts w:ascii="Calibri" w:cs="Calibri" w:eastAsia="Calibri" w:hAnsi="Calibri"/>
          <w:sz w:val="19"/>
          <w:szCs w:val="19"/>
        </w:rPr>
        <w:t xml:space="preserve">one run per cell, English only, no transformer. Next: more seeds, cross-domain test, transformer baseline.</w:t>
      </w:r>
    </w:p>
    <w:sectPr>
      <w:pgSz w:w="11906" w:h="16838" w:orient="portrait"/>
      <w:pgMar w:top="500" w:right="700" w:bottom="4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2026-10-30T08:00:47.308Z</dcterms:created>
  <dcterms:modified xsi:type="dcterms:W3CDTF">2026-10-30T08:00:47.309Z</dcterms:modified>
</cp:coreProperties>
</file>

<file path=docProps/custom.xml><?xml version="1.0" encoding="utf-8"?>
<Properties xmlns="http://schemas.openxmlformats.org/officeDocument/2006/custom-properties" xmlns:vt="http://schemas.openxmlformats.org/officeDocument/2006/docPropsVTypes"/>
</file>