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Times New Roman" w:cs="Times New Roman" w:eastAsia="Times New Roman" w:hAnsi="Times New Roman"/>
          <w:b/>
          <w:bCs/>
          <w:sz w:val="52"/>
          <w:szCs w:val="52"/>
        </w:rPr>
        <w:t xml:space="preserve">LexFront</w:t>
      </w:r>
    </w:p>
    <w:p>
      <w:pPr>
        <w:spacing w:after="120"/>
        <w:jc w:val="center"/>
      </w:pPr>
      <w:r>
        <w:rPr>
          <w:rFonts w:ascii="Times New Roman" w:cs="Times New Roman" w:eastAsia="Times New Roman" w:hAnsi="Times New Roman"/>
          <w:sz w:val="30"/>
          <w:szCs w:val="30"/>
        </w:rPr>
        <w:t xml:space="preserve">A DFA-Based Lexer Used as a Pre-Tokenizer for Noisy English Text Classification</w:t>
      </w:r>
    </w:p>
    <w:p>
      <w:pPr>
        <w:spacing w:after="400"/>
        <w:jc w:val="center"/>
      </w:pPr>
      <w:r>
        <w:rPr>
          <w:rFonts w:ascii="Times New Roman" w:cs="Times New Roman" w:eastAsia="Times New Roman" w:hAnsi="Times New Roman"/>
          <w:i/>
          <w:iCs/>
          <w:sz w:val="24"/>
          <w:szCs w:val="24"/>
        </w:rPr>
        <w:t xml:space="preserve">Compiler Design Project, Review 2 Report</w:t>
      </w:r>
    </w:p>
    <w:p>
      <w:pPr>
        <w:spacing w:after="160" w:line="320"/>
        <w:jc w:val="both"/>
      </w:pPr>
      <w:r>
        <w:rPr>
          <w:rFonts w:ascii="Times New Roman" w:cs="Times New Roman" w:eastAsia="Times New Roman" w:hAnsi="Times New Roman"/>
          <w:sz w:val="24"/>
          <w:szCs w:val="24"/>
        </w:rPr>
        <w:t xml:space="preserve">A quick note on scope before we start. This report covers the core part of the study: the lexer and the DFA engine (Modules 1 and 2), the comparison on three datasets, the case and rule ablations, and the subword experiments with BPE, WordPiece and Unigram. Our later extension work, such as larger datasets and wider classifier tuning, is not covered here. Every number in the report was read from the JSON result files in the repository, which are written by the scripts we ran. The full history of the repository is public, so the extension work can be seen there as well.</w:t>
      </w:r>
    </w:p>
    <w:p>
      <w:pPr>
        <w:pStyle w:val="Heading1"/>
        <w:spacing w:after="140" w:before="320"/>
      </w:pPr>
      <w:r>
        <w:rPr>
          <w:rFonts w:ascii="Times New Roman" w:cs="Times New Roman" w:eastAsia="Times New Roman" w:hAnsi="Times New Roman"/>
          <w:b/>
          <w:bCs/>
          <w:sz w:val="30"/>
          <w:szCs w:val="30"/>
        </w:rPr>
        <w:t xml:space="preserve">1. Problem and Motivation</w:t>
      </w:r>
    </w:p>
    <w:p>
      <w:pPr>
        <w:spacing w:after="160" w:line="320"/>
        <w:jc w:val="both"/>
      </w:pPr>
      <w:r>
        <w:rPr>
          <w:rFonts w:ascii="Times New Roman" w:cs="Times New Roman" w:eastAsia="Times New Roman" w:hAnsi="Times New Roman"/>
          <w:sz w:val="24"/>
          <w:szCs w:val="24"/>
        </w:rPr>
        <w:t xml:space="preserve">Text from social media is messy. People write hashtags, @-mentions, links, emoticons, stretched-out words like "soooo" and a fair amount of slang. General-purpose tokenizers tend to split these things in awkward ways, and that can hurt a classifier that depends on the tokens.</w:t>
      </w:r>
    </w:p>
    <w:p>
      <w:pPr>
        <w:spacing w:after="160" w:line="320"/>
        <w:jc w:val="both"/>
      </w:pPr>
      <w:r>
        <w:rPr>
          <w:rFonts w:ascii="Times New Roman" w:cs="Times New Roman" w:eastAsia="Times New Roman" w:hAnsi="Times New Roman"/>
          <w:sz w:val="24"/>
          <w:szCs w:val="24"/>
        </w:rPr>
        <w:t xml:space="preserve">Compilers deal with a very similar problem in their first stage. A lexical analyzer reads raw characters and turns them into tokens, using regular expressions, longest-match rules, a symbol table and some form of error recovery. We wanted to see whether that same approach carries over to text classification. So we built a lexer in the compiler-design style, used it as a pre-tokenizer, and compared it with existing tokenizers while keeping the classifier fixed.</w:t>
      </w:r>
    </w:p>
    <w:p>
      <w:pPr>
        <w:spacing w:after="160" w:line="320"/>
        <w:jc w:val="both"/>
      </w:pPr>
      <w:r>
        <w:rPr>
          <w:rFonts w:ascii="Times New Roman" w:cs="Times New Roman" w:eastAsia="Times New Roman" w:hAnsi="Times New Roman"/>
          <w:sz w:val="24"/>
          <w:szCs w:val="24"/>
        </w:rPr>
        <w:t xml:space="preserve">The question we are trying to answer is this: does a compiler-style lexer classify noisy text better than the existing tokenizers?</w:t>
      </w:r>
    </w:p>
    <w:p>
      <w:pPr>
        <w:pStyle w:val="Heading1"/>
        <w:spacing w:after="140" w:before="320"/>
      </w:pPr>
      <w:r>
        <w:rPr>
          <w:rFonts w:ascii="Times New Roman" w:cs="Times New Roman" w:eastAsia="Times New Roman" w:hAnsi="Times New Roman"/>
          <w:b/>
          <w:bCs/>
          <w:sz w:val="30"/>
          <w:szCs w:val="30"/>
        </w:rPr>
        <w:t xml:space="preserve">2. Design</w:t>
      </w:r>
    </w:p>
    <w:p>
      <w:pPr>
        <w:pStyle w:val="Heading2"/>
        <w:spacing w:after="100" w:before="220"/>
      </w:pPr>
      <w:r>
        <w:rPr>
          <w:rFonts w:ascii="Times New Roman" w:cs="Times New Roman" w:eastAsia="Times New Roman" w:hAnsi="Times New Roman"/>
          <w:b/>
          <w:bCs/>
          <w:sz w:val="26"/>
          <w:szCs w:val="26"/>
        </w:rPr>
        <w:t xml:space="preserve">2.1 Token classes</w:t>
      </w:r>
    </w:p>
    <w:p>
      <w:pPr>
        <w:spacing w:after="160" w:line="320"/>
        <w:jc w:val="both"/>
      </w:pPr>
      <w:r>
        <w:rPr>
          <w:rFonts w:ascii="Times New Roman" w:cs="Times New Roman" w:eastAsia="Times New Roman" w:hAnsi="Times New Roman"/>
          <w:sz w:val="24"/>
          <w:szCs w:val="24"/>
        </w:rPr>
        <w:t xml:space="preserve">LexFront has eleven token classes. Their order is also their priority, and they are defined in </w:t>
      </w:r>
      <w:r>
        <w:rPr>
          <w:rFonts w:ascii="Courier New" w:cs="Courier New" w:eastAsia="Courier New" w:hAnsi="Courier New"/>
          <w:sz w:val="21"/>
          <w:szCs w:val="21"/>
        </w:rPr>
        <w:t xml:space="preserve">lexer/token_spec.py</w:t>
      </w:r>
      <w:r>
        <w:rPr>
          <w:rFonts w:ascii="Times New Roman" w:cs="Times New Roman" w:eastAsia="Times New Roman" w:hAnsi="Times New Roman"/>
          <w:sz w:val="24"/>
          <w:szCs w:val="24"/>
        </w:rPr>
        <w:t xml:space="preserve">. In order they are URL, MENTION, HASHTAG, EMOTICON, EMOJI, NUMBER, CONTRACTION, ELONGATED, WORD and PUNCT, with UNKNOWN as the last one, which acts as the fallback for error recovery.</w:t>
      </w:r>
    </w:p>
    <w:p>
      <w:pPr>
        <w:pStyle w:val="Heading2"/>
        <w:spacing w:after="100" w:before="220"/>
      </w:pPr>
      <w:r>
        <w:rPr>
          <w:rFonts w:ascii="Times New Roman" w:cs="Times New Roman" w:eastAsia="Times New Roman" w:hAnsi="Times New Roman"/>
          <w:b/>
          <w:bCs/>
          <w:sz w:val="26"/>
          <w:szCs w:val="26"/>
        </w:rPr>
        <w:t xml:space="preserve">2.2 Longest-match lexer with error recovery</w:t>
      </w:r>
    </w:p>
    <w:p>
      <w:pPr>
        <w:spacing w:after="160" w:line="320"/>
        <w:jc w:val="both"/>
      </w:pPr>
      <w:r>
        <w:rPr>
          <w:rFonts w:ascii="Times New Roman" w:cs="Times New Roman" w:eastAsia="Times New Roman" w:hAnsi="Times New Roman"/>
          <w:sz w:val="24"/>
          <w:szCs w:val="24"/>
        </w:rPr>
        <w:t xml:space="preserve">The lexer in </w:t>
      </w:r>
      <w:r>
        <w:rPr>
          <w:rFonts w:ascii="Courier New" w:cs="Courier New" w:eastAsia="Courier New" w:hAnsi="Courier New"/>
          <w:sz w:val="21"/>
          <w:szCs w:val="21"/>
        </w:rPr>
        <w:t xml:space="preserve">lexer/ply_lexer.py</w:t>
      </w:r>
      <w:r>
        <w:rPr>
          <w:rFonts w:ascii="Times New Roman" w:cs="Times New Roman" w:eastAsia="Times New Roman" w:hAnsi="Times New Roman"/>
          <w:sz w:val="24"/>
          <w:szCs w:val="24"/>
        </w:rPr>
        <w:t xml:space="preserve"> is built on PLY. At every position it takes the longest match, and if two classes match the same length the earlier class wins. When a character matches no class at all, it becomes an UNKNOWN token and scanning simply carries on from the next character. This is the usual panic-mode style of error recovery.</w:t>
      </w:r>
    </w:p>
    <w:p>
      <w:pPr>
        <w:pStyle w:val="Heading2"/>
        <w:spacing w:after="100" w:before="220"/>
      </w:pPr>
      <w:r>
        <w:rPr>
          <w:rFonts w:ascii="Times New Roman" w:cs="Times New Roman" w:eastAsia="Times New Roman" w:hAnsi="Times New Roman"/>
          <w:b/>
          <w:bCs/>
          <w:sz w:val="26"/>
          <w:szCs w:val="26"/>
        </w:rPr>
        <w:t xml:space="preserve">2.3 Our own regex-to-DFA engine</w:t>
      </w:r>
    </w:p>
    <w:p>
      <w:pPr>
        <w:spacing w:after="160" w:line="320"/>
        <w:jc w:val="both"/>
      </w:pPr>
      <w:r>
        <w:rPr>
          <w:rFonts w:ascii="Times New Roman" w:cs="Times New Roman" w:eastAsia="Times New Roman" w:hAnsi="Times New Roman"/>
          <w:sz w:val="24"/>
          <w:szCs w:val="24"/>
        </w:rPr>
        <w:t xml:space="preserve">Apart from the PLY lexer we wrote our own engine in </w:t>
      </w:r>
      <w:r>
        <w:rPr>
          <w:rFonts w:ascii="Courier New" w:cs="Courier New" w:eastAsia="Courier New" w:hAnsi="Courier New"/>
          <w:sz w:val="21"/>
          <w:szCs w:val="21"/>
        </w:rPr>
        <w:t xml:space="preserve">lexer/dfa/</w:t>
      </w:r>
      <w:r>
        <w:rPr>
          <w:rFonts w:ascii="Times New Roman" w:cs="Times New Roman" w:eastAsia="Times New Roman" w:hAnsi="Times New Roman"/>
          <w:sz w:val="24"/>
          <w:szCs w:val="24"/>
        </w:rPr>
        <w:t xml:space="preserve">, and it follows the standard textbook pipeline. A recursive-descent parser first turns each regular expression into an AST. Thompson construction then converts the AST into an NFA with epsilon edges, and subset construction converts that NFA into a DFA, using epsilon-closure and an alphabet that has been split into atoms. After that we minimize the DFA with Moore's partition refinement, starting from a partition based on which rule each state accepts. The final piece is a table-driven scanner that does longest matching and falls back to UNKNOWN when nothing matches.</w:t>
      </w:r>
    </w:p>
    <w:p>
      <w:pPr>
        <w:spacing w:after="160" w:line="320"/>
        <w:jc w:val="both"/>
      </w:pPr>
      <w:r>
        <w:rPr>
          <w:rFonts w:ascii="Times New Roman" w:cs="Times New Roman" w:eastAsia="Times New Roman" w:hAnsi="Times New Roman"/>
          <w:sz w:val="24"/>
          <w:szCs w:val="24"/>
        </w:rPr>
        <w:t xml:space="preserve">The engine is used for four classes: EMOTICON, HASHTAG, MENTION and WORD. We have a test that checks it gives exactly the same tokens as the PLY lexer on those four classes. ELONGATED is left out of the engine on purpose. Its usual regex, (.)\1{2,}, needs a back-reference, and that goes beyond what regular expressions can express. So this is a limit of regular languages and not a bug in our code.</w:t>
      </w:r>
    </w:p>
    <w:p>
      <w:pPr>
        <w:spacing w:after="160" w:line="320"/>
        <w:jc w:val="both"/>
      </w:pPr>
      <w:r>
        <w:rPr>
          <w:rFonts w:ascii="Times New Roman" w:cs="Times New Roman" w:eastAsia="Times New Roman" w:hAnsi="Times New Roman"/>
          <w:sz w:val="24"/>
          <w:szCs w:val="24"/>
        </w:rPr>
        <w:t xml:space="preserve">Table 1 shows how big each automaton is. For the combined automaton, 43 NFA states become 12 DFA states, and minimization brings that down to 10. We also compiled ELONGATED by spelling it out as 26 separate branches, just to see what happens. That one is not part of LexFront, but it is a good example of how fast the construction can grow, going from 221 NFA states to 157 DFA states and then 54 after minimization.</w:t>
      </w:r>
    </w:p>
    <w:p>
      <w:pPr>
        <w:spacing w:after="200"/>
        <w:jc w:val="center"/>
      </w:pPr>
      <w:r>
        <w:rPr>
          <w:rFonts w:ascii="Times New Roman" w:cs="Times New Roman" w:eastAsia="Times New Roman" w:hAnsi="Times New Roman"/>
          <w:i/>
          <w:iCs/>
          <w:sz w:val="20"/>
          <w:szCs w:val="20"/>
        </w:rPr>
        <w:t xml:space="preserve">Table 1. Automaton sizes (results/module2/dfa_states.json)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500"/>
        <w:gridCol w:w="1760"/>
      </w:tblGrid>
      <w:tr>
        <w:trPr>
          <w:tblHeader/>
        </w:trPr>
        <w:tc>
          <w:tcPr>
            <w:tcW w:type="dxa" w:w="3100"/>
            <w:tcBorders>
              <w:top w:val="single" w:color="888888" w:sz="4"/>
              <w:left w:val="single" w:color="888888" w:sz="4"/>
              <w:bottom w:val="single" w:color="888888" w:sz="4"/>
              <w:right w:val="single" w:color="888888" w:sz="4"/>
            </w:tcBorders>
            <w:shd w:fill="E7E6E6" w:color="auto" w:val="clear"/>
            <w:tcMar>
              <w:top w:type="dxa" w:w="60"/>
              <w:left w:type="dxa" w:w="90"/>
              <w:bottom w:type="dxa" w:w="60"/>
              <w:right w:type="dxa" w:w="90"/>
            </w:tcMar>
          </w:tcPr>
          <w:p>
            <w:r>
              <w:rPr>
                <w:rFonts w:ascii="Times New Roman" w:cs="Times New Roman" w:eastAsia="Times New Roman" w:hAnsi="Times New Roman"/>
                <w:b/>
                <w:bCs/>
                <w:sz w:val="19"/>
                <w:szCs w:val="19"/>
              </w:rPr>
              <w:t xml:space="preserve">Automaton</w:t>
            </w:r>
          </w:p>
        </w:tc>
        <w:tc>
          <w:tcPr>
            <w:tcW w:type="dxa" w:w="1500"/>
            <w:tcBorders>
              <w:top w:val="single" w:color="888888" w:sz="4"/>
              <w:left w:val="single" w:color="888888" w:sz="4"/>
              <w:bottom w:val="single" w:color="888888" w:sz="4"/>
              <w:right w:val="single" w:color="888888" w:sz="4"/>
            </w:tcBorders>
            <w:shd w:fill="E7E6E6" w:color="auto" w:val="clear"/>
            <w:tcMar>
              <w:top w:type="dxa" w:w="60"/>
              <w:left w:type="dxa" w:w="90"/>
              <w:bottom w:type="dxa" w:w="60"/>
              <w:right w:type="dxa" w:w="90"/>
            </w:tcMar>
          </w:tcPr>
          <w:p>
            <w:r>
              <w:rPr>
                <w:rFonts w:ascii="Times New Roman" w:cs="Times New Roman" w:eastAsia="Times New Roman" w:hAnsi="Times New Roman"/>
                <w:b/>
                <w:bCs/>
                <w:sz w:val="19"/>
                <w:szCs w:val="19"/>
              </w:rPr>
              <w:t xml:space="preserve">Alphabet atoms</w:t>
            </w:r>
          </w:p>
        </w:tc>
        <w:tc>
          <w:tcPr>
            <w:tcW w:type="dxa" w:w="1500"/>
            <w:tcBorders>
              <w:top w:val="single" w:color="888888" w:sz="4"/>
              <w:left w:val="single" w:color="888888" w:sz="4"/>
              <w:bottom w:val="single" w:color="888888" w:sz="4"/>
              <w:right w:val="single" w:color="888888" w:sz="4"/>
            </w:tcBorders>
            <w:shd w:fill="E7E6E6" w:color="auto" w:val="clear"/>
            <w:tcMar>
              <w:top w:type="dxa" w:w="60"/>
              <w:left w:type="dxa" w:w="90"/>
              <w:bottom w:type="dxa" w:w="60"/>
              <w:right w:type="dxa" w:w="90"/>
            </w:tcMar>
          </w:tcPr>
          <w:p>
            <w:r>
              <w:rPr>
                <w:rFonts w:ascii="Times New Roman" w:cs="Times New Roman" w:eastAsia="Times New Roman" w:hAnsi="Times New Roman"/>
                <w:b/>
                <w:bCs/>
                <w:sz w:val="19"/>
                <w:szCs w:val="19"/>
              </w:rPr>
              <w:t xml:space="preserve">NFA states</w:t>
            </w:r>
          </w:p>
        </w:tc>
        <w:tc>
          <w:tcPr>
            <w:tcW w:type="dxa" w:w="1500"/>
            <w:tcBorders>
              <w:top w:val="single" w:color="888888" w:sz="4"/>
              <w:left w:val="single" w:color="888888" w:sz="4"/>
              <w:bottom w:val="single" w:color="888888" w:sz="4"/>
              <w:right w:val="single" w:color="888888" w:sz="4"/>
            </w:tcBorders>
            <w:shd w:fill="E7E6E6" w:color="auto" w:val="clear"/>
            <w:tcMar>
              <w:top w:type="dxa" w:w="60"/>
              <w:left w:type="dxa" w:w="90"/>
              <w:bottom w:type="dxa" w:w="60"/>
              <w:right w:type="dxa" w:w="90"/>
            </w:tcMar>
          </w:tcPr>
          <w:p>
            <w:r>
              <w:rPr>
                <w:rFonts w:ascii="Times New Roman" w:cs="Times New Roman" w:eastAsia="Times New Roman" w:hAnsi="Times New Roman"/>
                <w:b/>
                <w:bCs/>
                <w:sz w:val="19"/>
                <w:szCs w:val="19"/>
              </w:rPr>
              <w:t xml:space="preserve">DFA states</w:t>
            </w:r>
          </w:p>
        </w:tc>
        <w:tc>
          <w:tcPr>
            <w:tcW w:type="dxa" w:w="1760"/>
            <w:tcBorders>
              <w:top w:val="single" w:color="888888" w:sz="4"/>
              <w:left w:val="single" w:color="888888" w:sz="4"/>
              <w:bottom w:val="single" w:color="888888" w:sz="4"/>
              <w:right w:val="single" w:color="888888" w:sz="4"/>
            </w:tcBorders>
            <w:shd w:fill="E7E6E6" w:color="auto" w:val="clear"/>
            <w:tcMar>
              <w:top w:type="dxa" w:w="60"/>
              <w:left w:type="dxa" w:w="90"/>
              <w:bottom w:type="dxa" w:w="60"/>
              <w:right w:type="dxa" w:w="90"/>
            </w:tcMar>
          </w:tcPr>
          <w:p>
            <w:r>
              <w:rPr>
                <w:rFonts w:ascii="Times New Roman" w:cs="Times New Roman" w:eastAsia="Times New Roman" w:hAnsi="Times New Roman"/>
                <w:b/>
                <w:bCs/>
                <w:sz w:val="19"/>
                <w:szCs w:val="19"/>
              </w:rPr>
              <w:t xml:space="preserve">Minimized DFA states</w:t>
            </w:r>
          </w:p>
        </w:tc>
      </w:tr>
      <w:tr>
        <w:trPr>
          <w:tblHeader w:val="false"/>
        </w:trPr>
        <w:tc>
          <w:tcPr>
            <w:tcW w:type="dxa" w:w="31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MENTION</w:t>
            </w:r>
          </w:p>
        </w:tc>
        <w:tc>
          <w:tcPr>
            <w:tcW w:type="dxa" w:w="15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5</w:t>
            </w:r>
          </w:p>
        </w:tc>
        <w:tc>
          <w:tcPr>
            <w:tcW w:type="dxa" w:w="15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3</w:t>
            </w:r>
          </w:p>
        </w:tc>
      </w:tr>
      <w:tr>
        <w:trPr>
          <w:tblHeader w:val="false"/>
        </w:trPr>
        <w:tc>
          <w:tcPr>
            <w:tcW w:type="dxa" w:w="31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HASHTAG</w:t>
            </w:r>
          </w:p>
        </w:tc>
        <w:tc>
          <w:tcPr>
            <w:tcW w:type="dxa" w:w="15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8</w:t>
            </w:r>
          </w:p>
        </w:tc>
        <w:tc>
          <w:tcPr>
            <w:tcW w:type="dxa" w:w="15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3</w:t>
            </w:r>
          </w:p>
        </w:tc>
      </w:tr>
      <w:tr>
        <w:trPr>
          <w:tblHeader w:val="false"/>
        </w:trPr>
        <w:tc>
          <w:tcPr>
            <w:tcW w:type="dxa" w:w="31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EMOTICON</w:t>
            </w:r>
          </w:p>
        </w:tc>
        <w:tc>
          <w:tcPr>
            <w:tcW w:type="dxa" w:w="15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17</w:t>
            </w:r>
          </w:p>
        </w:tc>
        <w:tc>
          <w:tcPr>
            <w:tcW w:type="dxa" w:w="15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19</w:t>
            </w:r>
          </w:p>
        </w:tc>
        <w:tc>
          <w:tcPr>
            <w:tcW w:type="dxa" w:w="15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6</w:t>
            </w:r>
          </w:p>
        </w:tc>
        <w:tc>
          <w:tcPr>
            <w:tcW w:type="dxa" w:w="176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5</w:t>
            </w:r>
          </w:p>
        </w:tc>
      </w:tr>
      <w:tr>
        <w:trPr>
          <w:tblHeader w:val="false"/>
        </w:trPr>
        <w:tc>
          <w:tcPr>
            <w:tcW w:type="dxa" w:w="31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WORD</w:t>
            </w:r>
          </w:p>
        </w:tc>
        <w:tc>
          <w:tcPr>
            <w:tcW w:type="dxa" w:w="15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6</w:t>
            </w:r>
          </w:p>
        </w:tc>
        <w:tc>
          <w:tcPr>
            <w:tcW w:type="dxa" w:w="15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2</w:t>
            </w:r>
          </w:p>
        </w:tc>
      </w:tr>
      <w:tr>
        <w:trPr>
          <w:tblHeader w:val="false"/>
        </w:trPr>
        <w:tc>
          <w:tcPr>
            <w:tcW w:type="dxa" w:w="31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Combined (4 classes)</w:t>
            </w:r>
          </w:p>
        </w:tc>
        <w:tc>
          <w:tcPr>
            <w:tcW w:type="dxa" w:w="15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31</w:t>
            </w:r>
          </w:p>
        </w:tc>
        <w:tc>
          <w:tcPr>
            <w:tcW w:type="dxa" w:w="15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43</w:t>
            </w:r>
          </w:p>
        </w:tc>
        <w:tc>
          <w:tcPr>
            <w:tcW w:type="dxa" w:w="15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12</w:t>
            </w:r>
          </w:p>
        </w:tc>
        <w:tc>
          <w:tcPr>
            <w:tcW w:type="dxa" w:w="176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10</w:t>
            </w:r>
          </w:p>
        </w:tc>
      </w:tr>
      <w:tr>
        <w:trPr>
          <w:tblHeader w:val="false"/>
        </w:trPr>
        <w:tc>
          <w:tcPr>
            <w:tcW w:type="dxa" w:w="31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ELONGATED, 26 branches (extra)</w:t>
            </w:r>
          </w:p>
        </w:tc>
        <w:tc>
          <w:tcPr>
            <w:tcW w:type="dxa" w:w="15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26</w:t>
            </w:r>
          </w:p>
        </w:tc>
        <w:tc>
          <w:tcPr>
            <w:tcW w:type="dxa" w:w="15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221</w:t>
            </w:r>
          </w:p>
        </w:tc>
        <w:tc>
          <w:tcPr>
            <w:tcW w:type="dxa" w:w="15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157</w:t>
            </w:r>
          </w:p>
        </w:tc>
        <w:tc>
          <w:tcPr>
            <w:tcW w:type="dxa" w:w="176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54</w:t>
            </w:r>
          </w:p>
        </w:tc>
      </w:tr>
    </w:tbl>
    <w:p>
      <w:pPr>
        <w:spacing w:after="120"/>
      </w:pPr>
    </w:p>
    <w:p>
      <w:pPr>
        <w:spacing w:after="60" w:before="120"/>
        <w:jc w:val="center"/>
      </w:pPr>
      <w:r>
        <w:drawing>
          <wp:inline distT="0" distB="0" distL="0" distR="0">
            <wp:extent cx="3810000" cy="2371725"/>
            <wp:effectExtent t="0" r="0" b="0" l="0"/>
            <wp:docPr id="1" name="results/module2/dfa_min.png" descr="results/module2/dfa_min.png" title="results/module2/dfa_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3717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The minimized combined DFA (results/module2/dfa_min.png)</w:t>
      </w:r>
    </w:p>
    <w:p>
      <w:pPr>
        <w:pStyle w:val="Heading2"/>
        <w:spacing w:after="100" w:before="220"/>
      </w:pPr>
      <w:r>
        <w:rPr>
          <w:rFonts w:ascii="Times New Roman" w:cs="Times New Roman" w:eastAsia="Times New Roman" w:hAnsi="Times New Roman"/>
          <w:b/>
          <w:bCs/>
          <w:sz w:val="26"/>
          <w:szCs w:val="26"/>
        </w:rPr>
        <w:t xml:space="preserve">2.4 Normalizer and symbol table</w:t>
      </w:r>
    </w:p>
    <w:p>
      <w:pPr>
        <w:spacing w:after="160" w:line="320"/>
        <w:jc w:val="both"/>
      </w:pPr>
      <w:r>
        <w:rPr>
          <w:rFonts w:ascii="Times New Roman" w:cs="Times New Roman" w:eastAsia="Times New Roman" w:hAnsi="Times New Roman"/>
          <w:sz w:val="24"/>
          <w:szCs w:val="24"/>
        </w:rPr>
        <w:t xml:space="preserve">After tokenizing, a normalizer (</w:t>
      </w:r>
      <w:r>
        <w:rPr>
          <w:rFonts w:ascii="Courier New" w:cs="Courier New" w:eastAsia="Courier New" w:hAnsi="Courier New"/>
          <w:sz w:val="21"/>
          <w:szCs w:val="21"/>
        </w:rPr>
        <w:t xml:space="preserve">lexer/normalize.py</w:t>
      </w:r>
      <w:r>
        <w:rPr>
          <w:rFonts w:ascii="Times New Roman" w:cs="Times New Roman" w:eastAsia="Times New Roman" w:hAnsi="Times New Roman"/>
          <w:sz w:val="24"/>
          <w:szCs w:val="24"/>
        </w:rPr>
        <w:t xml:space="preserve">) applies six rules, and each one can be switched off on its own. URLs become &lt;URL&gt;, mentions become &lt;USER&gt; and numbers become &lt;NUM&gt;. Elongated runs of letters are collapsed down to two letters, word-like tokens are lowercased, and a small slang table with 30 entries is used for lookups. The symbol table (</w:t>
      </w:r>
      <w:r>
        <w:rPr>
          <w:rFonts w:ascii="Courier New" w:cs="Courier New" w:eastAsia="Courier New" w:hAnsi="Courier New"/>
          <w:sz w:val="21"/>
          <w:szCs w:val="21"/>
        </w:rPr>
        <w:t xml:space="preserve">lexer/symbol_table.py</w:t>
      </w:r>
      <w:r>
        <w:rPr>
          <w:rFonts w:ascii="Times New Roman" w:cs="Times New Roman" w:eastAsia="Times New Roman" w:hAnsi="Times New Roman"/>
          <w:sz w:val="24"/>
          <w:szCs w:val="24"/>
        </w:rPr>
        <w:t xml:space="preserve">) stores an id, a frequency and a class for every token. Finally, LexFront.tokenize() has the same interface as the baseline tokenizers, which means the classifier code stays identical no matter which tokenizer is plugged in.</w:t>
      </w:r>
    </w:p>
    <w:p>
      <w:pPr>
        <w:pStyle w:val="Heading1"/>
        <w:spacing w:after="140" w:before="320"/>
      </w:pPr>
      <w:r>
        <w:rPr>
          <w:rFonts w:ascii="Times New Roman" w:cs="Times New Roman" w:eastAsia="Times New Roman" w:hAnsi="Times New Roman"/>
          <w:b/>
          <w:bCs/>
          <w:sz w:val="30"/>
          <w:szCs w:val="30"/>
        </w:rPr>
        <w:t xml:space="preserve">3. Experimental Setup</w:t>
      </w:r>
    </w:p>
    <w:p>
      <w:pPr>
        <w:spacing w:after="160" w:line="320"/>
        <w:jc w:val="both"/>
      </w:pPr>
      <w:r>
        <w:rPr>
          <w:rFonts w:ascii="Times New Roman" w:cs="Times New Roman" w:eastAsia="Times New Roman" w:hAnsi="Times New Roman"/>
          <w:sz w:val="24"/>
          <w:szCs w:val="24"/>
        </w:rPr>
        <w:t xml:space="preserve">We used three datasets, all on their full data with no subsampling: tweet_topic (6 classes, 3,598 training and 3,399 test examples), go_emotions (single-label only, 28 classes, 36,308 training and 4,590 test) and ag_news (4 classes, 120,000 training and 7,600 test).</w:t>
      </w:r>
    </w:p>
    <w:p>
      <w:pPr>
        <w:spacing w:after="160" w:line="320"/>
        <w:jc w:val="both"/>
      </w:pPr>
      <w:r>
        <w:rPr>
          <w:rFonts w:ascii="Times New Roman" w:cs="Times New Roman" w:eastAsia="Times New Roman" w:hAnsi="Times New Roman"/>
          <w:sz w:val="24"/>
          <w:szCs w:val="24"/>
        </w:rPr>
        <w:t xml:space="preserve">Four tokenizers were compared: plain whitespace splitting, NLTK word_tokenize, NLTK TweetTokenizer and LexFront. As extensions we also tried BPE, a LexFront + BPE hybrid, WordPiece and Unigram. Every tokenizer feeds the same TF-IDF step (min_df=2), followed by one of three classifiers: a majority-class baseline, Multinomial Naive Bayes (the existing method), and Logistic Regression (max_iter=1000, seed 0, single-threaded).</w:t>
      </w:r>
    </w:p>
    <w:p>
      <w:pPr>
        <w:spacing w:after="160" w:line="320"/>
        <w:jc w:val="both"/>
      </w:pPr>
      <w:r>
        <w:rPr>
          <w:rFonts w:ascii="Times New Roman" w:cs="Times New Roman" w:eastAsia="Times New Roman" w:hAnsi="Times New Roman"/>
          <w:sz w:val="24"/>
          <w:szCs w:val="24"/>
        </w:rPr>
        <w:t xml:space="preserve">We report accuracy and macro-F1. Each cell is a single training run. The 95% confidence intervals are paired percentile bootstraps over the test examples, and we also use McNemar's test for accuracy (results/stats/bootstrap.json). Each run saves its configuration and a code fingerprint, so a stored result is only reused when nothing has changed, and the test suite checks the engine as well.</w:t>
      </w:r>
    </w:p>
    <w:p>
      <w:pPr>
        <w:pStyle w:val="Heading1"/>
        <w:spacing w:after="140" w:before="320"/>
      </w:pPr>
      <w:r>
        <w:rPr>
          <w:rFonts w:ascii="Times New Roman" w:cs="Times New Roman" w:eastAsia="Times New Roman" w:hAnsi="Times New Roman"/>
          <w:b/>
          <w:bCs/>
          <w:sz w:val="30"/>
          <w:szCs w:val="30"/>
        </w:rPr>
        <w:t xml:space="preserve">4. Results</w:t>
      </w:r>
    </w:p>
    <w:p>
      <w:pPr>
        <w:pStyle w:val="Heading2"/>
        <w:spacing w:after="100" w:before="220"/>
      </w:pPr>
      <w:r>
        <w:rPr>
          <w:rFonts w:ascii="Times New Roman" w:cs="Times New Roman" w:eastAsia="Times New Roman" w:hAnsi="Times New Roman"/>
          <w:b/>
          <w:bCs/>
          <w:sz w:val="26"/>
          <w:szCs w:val="26"/>
        </w:rPr>
        <w:t xml:space="preserve">4.1 Existing tokenizers (Module 1)</w:t>
      </w:r>
    </w:p>
    <w:p>
      <w:pPr>
        <w:spacing w:after="160" w:line="320"/>
        <w:jc w:val="both"/>
      </w:pPr>
      <w:r>
        <w:rPr>
          <w:rFonts w:ascii="Times New Roman" w:cs="Times New Roman" w:eastAsia="Times New Roman" w:hAnsi="Times New Roman"/>
          <w:sz w:val="24"/>
          <w:szCs w:val="24"/>
        </w:rPr>
        <w:t xml:space="preserve">Table 2 gives accuracy and macro-F1 (both in %) for the three existing tokenizers with each classifier. The tokenizer makes a fairly small difference here. Moving from Naive Bayes to Logistic Regression changes things much more, especially on go_emotions.</w:t>
      </w:r>
    </w:p>
    <w:p>
      <w:pPr>
        <w:spacing w:after="200"/>
        <w:jc w:val="center"/>
      </w:pPr>
      <w:r>
        <w:rPr>
          <w:rFonts w:ascii="Times New Roman" w:cs="Times New Roman" w:eastAsia="Times New Roman" w:hAnsi="Times New Roman"/>
          <w:i/>
          <w:iCs/>
          <w:sz w:val="20"/>
          <w:szCs w:val="20"/>
        </w:rPr>
        <w:t xml:space="preserve">Table 2. Accuracy / macro-F1 (%), existing tokenizers (results/module1/)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900"/>
        <w:gridCol w:w="2100"/>
        <w:gridCol w:w="2100"/>
      </w:tblGrid>
      <w:tr>
        <w:trPr>
          <w:tblHeader/>
        </w:trPr>
        <w:tc>
          <w:tcPr>
            <w:tcW w:type="dxa" w:w="1700"/>
            <w:tcBorders>
              <w:top w:val="single" w:color="888888" w:sz="4"/>
              <w:left w:val="single" w:color="888888" w:sz="4"/>
              <w:bottom w:val="single" w:color="888888" w:sz="4"/>
              <w:right w:val="single" w:color="888888" w:sz="4"/>
            </w:tcBorders>
            <w:shd w:fill="E7E6E6" w:color="auto" w:val="clear"/>
            <w:tcMar>
              <w:top w:type="dxa" w:w="60"/>
              <w:left w:type="dxa" w:w="90"/>
              <w:bottom w:type="dxa" w:w="60"/>
              <w:right w:type="dxa" w:w="90"/>
            </w:tcMar>
          </w:tcPr>
          <w:p>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60"/>
              <w:left w:type="dxa" w:w="90"/>
              <w:bottom w:type="dxa" w:w="60"/>
              <w:right w:type="dxa" w:w="90"/>
            </w:tcMar>
          </w:tcPr>
          <w:p>
            <w:r>
              <w:rPr>
                <w:rFonts w:ascii="Times New Roman" w:cs="Times New Roman" w:eastAsia="Times New Roman" w:hAnsi="Times New Roman"/>
                <w:b/>
                <w:bCs/>
                <w:sz w:val="19"/>
                <w:szCs w:val="19"/>
              </w:rPr>
              <w:t xml:space="preserve">Tokenizer</w:t>
            </w:r>
          </w:p>
        </w:tc>
        <w:tc>
          <w:tcPr>
            <w:tcW w:type="dxa" w:w="1900"/>
            <w:tcBorders>
              <w:top w:val="single" w:color="888888" w:sz="4"/>
              <w:left w:val="single" w:color="888888" w:sz="4"/>
              <w:bottom w:val="single" w:color="888888" w:sz="4"/>
              <w:right w:val="single" w:color="888888" w:sz="4"/>
            </w:tcBorders>
            <w:shd w:fill="E7E6E6" w:color="auto" w:val="clear"/>
            <w:tcMar>
              <w:top w:type="dxa" w:w="60"/>
              <w:left w:type="dxa" w:w="90"/>
              <w:bottom w:type="dxa" w:w="60"/>
              <w:right w:type="dxa" w:w="90"/>
            </w:tcMar>
          </w:tcPr>
          <w:p>
            <w:r>
              <w:rPr>
                <w:rFonts w:ascii="Times New Roman" w:cs="Times New Roman" w:eastAsia="Times New Roman" w:hAnsi="Times New Roman"/>
                <w:b/>
                <w:bCs/>
                <w:sz w:val="19"/>
                <w:szCs w:val="19"/>
              </w:rPr>
              <w:t xml:space="preserve">Majority</w:t>
            </w:r>
          </w:p>
        </w:tc>
        <w:tc>
          <w:tcPr>
            <w:tcW w:type="dxa" w:w="2100"/>
            <w:tcBorders>
              <w:top w:val="single" w:color="888888" w:sz="4"/>
              <w:left w:val="single" w:color="888888" w:sz="4"/>
              <w:bottom w:val="single" w:color="888888" w:sz="4"/>
              <w:right w:val="single" w:color="888888" w:sz="4"/>
            </w:tcBorders>
            <w:shd w:fill="E7E6E6" w:color="auto" w:val="clear"/>
            <w:tcMar>
              <w:top w:type="dxa" w:w="60"/>
              <w:left w:type="dxa" w:w="90"/>
              <w:bottom w:type="dxa" w:w="60"/>
              <w:right w:type="dxa" w:w="90"/>
            </w:tcMar>
          </w:tcPr>
          <w:p>
            <w:r>
              <w:rPr>
                <w:rFonts w:ascii="Times New Roman" w:cs="Times New Roman" w:eastAsia="Times New Roman" w:hAnsi="Times New Roman"/>
                <w:b/>
                <w:bCs/>
                <w:sz w:val="19"/>
                <w:szCs w:val="19"/>
              </w:rPr>
              <w:t xml:space="preserve">Naive Bayes</w:t>
            </w:r>
          </w:p>
        </w:tc>
        <w:tc>
          <w:tcPr>
            <w:tcW w:type="dxa" w:w="2100"/>
            <w:tcBorders>
              <w:top w:val="single" w:color="888888" w:sz="4"/>
              <w:left w:val="single" w:color="888888" w:sz="4"/>
              <w:bottom w:val="single" w:color="888888" w:sz="4"/>
              <w:right w:val="single" w:color="888888" w:sz="4"/>
            </w:tcBorders>
            <w:shd w:fill="E7E6E6" w:color="auto" w:val="clear"/>
            <w:tcMar>
              <w:top w:type="dxa" w:w="60"/>
              <w:left w:type="dxa" w:w="90"/>
              <w:bottom w:type="dxa" w:w="60"/>
              <w:right w:type="dxa" w:w="90"/>
            </w:tcMar>
          </w:tcPr>
          <w:p>
            <w:r>
              <w:rPr>
                <w:rFonts w:ascii="Times New Roman" w:cs="Times New Roman" w:eastAsia="Times New Roman" w:hAnsi="Times New Roman"/>
                <w:b/>
                <w:bCs/>
                <w:sz w:val="19"/>
                <w:szCs w:val="19"/>
              </w:rPr>
              <w:t xml:space="preserve">Logistic Reg.</w:t>
            </w:r>
          </w:p>
        </w:tc>
      </w:tr>
      <w:tr>
        <w:trPr>
          <w:tblHeader w:val="false"/>
        </w:trPr>
        <w:tc>
          <w:tcPr>
            <w:tcW w:type="dxa" w:w="17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70.26 / 28.83</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70.49 / 35.76</w:t>
            </w:r>
          </w:p>
        </w:tc>
      </w:tr>
      <w:tr>
        <w:trPr>
          <w:tblHeader w:val="false"/>
        </w:trPr>
        <w:tc>
          <w:tcPr>
            <w:tcW w:type="dxa" w:w="17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70.99 / 28.56</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72.32 / 36.95</w:t>
            </w:r>
          </w:p>
        </w:tc>
      </w:tr>
      <w:tr>
        <w:trPr>
          <w:tblHeader w:val="false"/>
        </w:trPr>
        <w:tc>
          <w:tcPr>
            <w:tcW w:type="dxa" w:w="17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70.79 / 28.31</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72.02 / 36.70</w:t>
            </w:r>
          </w:p>
        </w:tc>
      </w:tr>
      <w:tr>
        <w:trPr>
          <w:tblHeader w:val="false"/>
        </w:trPr>
        <w:tc>
          <w:tcPr>
            <w:tcW w:type="dxa" w:w="17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37.73 / 4.93</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53.51 / 31.40</w:t>
            </w:r>
          </w:p>
        </w:tc>
      </w:tr>
      <w:tr>
        <w:trPr>
          <w:tblHeader w:val="false"/>
        </w:trPr>
        <w:tc>
          <w:tcPr>
            <w:tcW w:type="dxa" w:w="17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37.78 / 4.88</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55.27 / 33.86</w:t>
            </w:r>
          </w:p>
        </w:tc>
      </w:tr>
      <w:tr>
        <w:trPr>
          <w:tblHeader w:val="false"/>
        </w:trPr>
        <w:tc>
          <w:tcPr>
            <w:tcW w:type="dxa" w:w="17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37.80 / 4.86</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55.47 / 34.02</w:t>
            </w:r>
          </w:p>
        </w:tc>
      </w:tr>
      <w:tr>
        <w:trPr>
          <w:tblHeader w:val="false"/>
        </w:trPr>
        <w:tc>
          <w:tcPr>
            <w:tcW w:type="dxa" w:w="17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90.14 / 90.12</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91.43 / 91.42</w:t>
            </w:r>
          </w:p>
        </w:tc>
      </w:tr>
      <w:tr>
        <w:trPr>
          <w:tblHeader w:val="false"/>
        </w:trPr>
        <w:tc>
          <w:tcPr>
            <w:tcW w:type="dxa" w:w="17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90.38 / 90.35</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91.88 / 91.87</w:t>
            </w:r>
          </w:p>
        </w:tc>
      </w:tr>
      <w:tr>
        <w:trPr>
          <w:tblHeader w:val="false"/>
        </w:trPr>
        <w:tc>
          <w:tcPr>
            <w:tcW w:type="dxa" w:w="17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90.22 / 90.20</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91.84 / 91.83</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4.2 Proposed versus existing</w:t>
      </w:r>
    </w:p>
    <w:p>
      <w:pPr>
        <w:spacing w:after="160" w:line="320"/>
        <w:jc w:val="both"/>
      </w:pPr>
      <w:r>
        <w:rPr>
          <w:rFonts w:ascii="Times New Roman" w:cs="Times New Roman" w:eastAsia="Times New Roman" w:hAnsi="Times New Roman"/>
          <w:sz w:val="24"/>
          <w:szCs w:val="24"/>
        </w:rPr>
        <w:t xml:space="preserve">Next we compared our proposed setup (LexFront with Logistic Regression) against the existing one (NLTK with Naive Bayes). On the surface this looks good for LexFront: it is up by 17.58 points on go_emotions and 1.50 on ag_news, and only 0.26 points lower on tweet_topic. Table 3 has the details, and the last two columns show the two mixed settings so the pieces can be compared.</w:t>
      </w:r>
    </w:p>
    <w:p>
      <w:pPr>
        <w:spacing w:after="200"/>
        <w:jc w:val="center"/>
      </w:pPr>
      <w:r>
        <w:rPr>
          <w:rFonts w:ascii="Times New Roman" w:cs="Times New Roman" w:eastAsia="Times New Roman" w:hAnsi="Times New Roman"/>
          <w:i/>
          <w:iCs/>
          <w:sz w:val="20"/>
          <w:szCs w:val="20"/>
        </w:rPr>
        <w:t xml:space="preserve">Table 3. Proposed (LexFront+LR) vs existing (NLTK+NB), accuracy / macro-F1 (%)</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700"/>
        <w:gridCol w:w="1300"/>
        <w:gridCol w:w="1700"/>
        <w:gridCol w:w="1700"/>
      </w:tblGrid>
      <w:tr>
        <w:trPr>
          <w:tblHeader/>
        </w:trPr>
        <w:tc>
          <w:tcPr>
            <w:tcW w:type="dxa" w:w="1500"/>
            <w:tcBorders>
              <w:top w:val="single" w:color="888888" w:sz="4"/>
              <w:left w:val="single" w:color="888888" w:sz="4"/>
              <w:bottom w:val="single" w:color="888888" w:sz="4"/>
              <w:right w:val="single" w:color="888888" w:sz="4"/>
            </w:tcBorders>
            <w:shd w:fill="E7E6E6" w:color="auto" w:val="clear"/>
            <w:tcMar>
              <w:top w:type="dxa" w:w="60"/>
              <w:left w:type="dxa" w:w="90"/>
              <w:bottom w:type="dxa" w:w="60"/>
              <w:right w:type="dxa" w:w="90"/>
            </w:tcMar>
          </w:tcPr>
          <w:p>
            <w:r>
              <w:rPr>
                <w:rFonts w:ascii="Times New Roman" w:cs="Times New Roman" w:eastAsia="Times New Roman" w:hAnsi="Times New Roman"/>
                <w:b/>
                <w:bCs/>
                <w:sz w:val="19"/>
                <w:szCs w:val="19"/>
              </w:rPr>
              <w:t xml:space="preserve">Dataset</w:t>
            </w:r>
          </w:p>
        </w:tc>
        <w:tc>
          <w:tcPr>
            <w:tcW w:type="dxa" w:w="1600"/>
            <w:tcBorders>
              <w:top w:val="single" w:color="888888" w:sz="4"/>
              <w:left w:val="single" w:color="888888" w:sz="4"/>
              <w:bottom w:val="single" w:color="888888" w:sz="4"/>
              <w:right w:val="single" w:color="888888" w:sz="4"/>
            </w:tcBorders>
            <w:shd w:fill="E7E6E6" w:color="auto" w:val="clear"/>
            <w:tcMar>
              <w:top w:type="dxa" w:w="60"/>
              <w:left w:type="dxa" w:w="90"/>
              <w:bottom w:type="dxa" w:w="60"/>
              <w:right w:type="dxa" w:w="90"/>
            </w:tcMar>
          </w:tcPr>
          <w:p>
            <w:r>
              <w:rPr>
                <w:rFonts w:ascii="Times New Roman" w:cs="Times New Roman" w:eastAsia="Times New Roman" w:hAnsi="Times New Roman"/>
                <w:b/>
                <w:bCs/>
                <w:sz w:val="19"/>
                <w:szCs w:val="19"/>
              </w:rPr>
              <w:t xml:space="preserve">NLTK+NB</w:t>
            </w:r>
          </w:p>
        </w:tc>
        <w:tc>
          <w:tcPr>
            <w:tcW w:type="dxa" w:w="1700"/>
            <w:tcBorders>
              <w:top w:val="single" w:color="888888" w:sz="4"/>
              <w:left w:val="single" w:color="888888" w:sz="4"/>
              <w:bottom w:val="single" w:color="888888" w:sz="4"/>
              <w:right w:val="single" w:color="888888" w:sz="4"/>
            </w:tcBorders>
            <w:shd w:fill="E7E6E6" w:color="auto" w:val="clear"/>
            <w:tcMar>
              <w:top w:type="dxa" w:w="60"/>
              <w:left w:type="dxa" w:w="90"/>
              <w:bottom w:type="dxa" w:w="60"/>
              <w:right w:type="dxa" w:w="90"/>
            </w:tcMar>
          </w:tcPr>
          <w:p>
            <w:r>
              <w:rPr>
                <w:rFonts w:ascii="Times New Roman" w:cs="Times New Roman" w:eastAsia="Times New Roman" w:hAnsi="Times New Roman"/>
                <w:b/>
                <w:bCs/>
                <w:sz w:val="19"/>
                <w:szCs w:val="19"/>
              </w:rPr>
              <w:t xml:space="preserve">LexFront+LR</w:t>
            </w:r>
          </w:p>
        </w:tc>
        <w:tc>
          <w:tcPr>
            <w:tcW w:type="dxa" w:w="1300"/>
            <w:tcBorders>
              <w:top w:val="single" w:color="888888" w:sz="4"/>
              <w:left w:val="single" w:color="888888" w:sz="4"/>
              <w:bottom w:val="single" w:color="888888" w:sz="4"/>
              <w:right w:val="single" w:color="888888" w:sz="4"/>
            </w:tcBorders>
            <w:shd w:fill="E7E6E6" w:color="auto" w:val="clear"/>
            <w:tcMar>
              <w:top w:type="dxa" w:w="60"/>
              <w:left w:type="dxa" w:w="90"/>
              <w:bottom w:type="dxa" w:w="60"/>
              <w:right w:type="dxa" w:w="90"/>
            </w:tcMar>
          </w:tcPr>
          <w:p>
            <w:r>
              <w:rPr>
                <w:rFonts w:ascii="Times New Roman" w:cs="Times New Roman" w:eastAsia="Times New Roman" w:hAnsi="Times New Roman"/>
                <w:b/>
                <w:bCs/>
                <w:sz w:val="19"/>
                <w:szCs w:val="19"/>
              </w:rPr>
              <w:t xml:space="preserve">Delta acc (pts)</w:t>
            </w:r>
          </w:p>
        </w:tc>
        <w:tc>
          <w:tcPr>
            <w:tcW w:type="dxa" w:w="1700"/>
            <w:tcBorders>
              <w:top w:val="single" w:color="888888" w:sz="4"/>
              <w:left w:val="single" w:color="888888" w:sz="4"/>
              <w:bottom w:val="single" w:color="888888" w:sz="4"/>
              <w:right w:val="single" w:color="888888" w:sz="4"/>
            </w:tcBorders>
            <w:shd w:fill="E7E6E6" w:color="auto" w:val="clear"/>
            <w:tcMar>
              <w:top w:type="dxa" w:w="60"/>
              <w:left w:type="dxa" w:w="90"/>
              <w:bottom w:type="dxa" w:w="60"/>
              <w:right w:type="dxa" w:w="90"/>
            </w:tcMar>
          </w:tcPr>
          <w:p>
            <w:r>
              <w:rPr>
                <w:rFonts w:ascii="Times New Roman" w:cs="Times New Roman" w:eastAsia="Times New Roman" w:hAnsi="Times New Roman"/>
                <w:b/>
                <w:bCs/>
                <w:sz w:val="19"/>
                <w:szCs w:val="19"/>
              </w:rPr>
              <w:t xml:space="preserve">LexFront+NB</w:t>
            </w:r>
          </w:p>
        </w:tc>
        <w:tc>
          <w:tcPr>
            <w:tcW w:type="dxa" w:w="1700"/>
            <w:tcBorders>
              <w:top w:val="single" w:color="888888" w:sz="4"/>
              <w:left w:val="single" w:color="888888" w:sz="4"/>
              <w:bottom w:val="single" w:color="888888" w:sz="4"/>
              <w:right w:val="single" w:color="888888" w:sz="4"/>
            </w:tcBorders>
            <w:shd w:fill="E7E6E6" w:color="auto" w:val="clear"/>
            <w:tcMar>
              <w:top w:type="dxa" w:w="60"/>
              <w:left w:type="dxa" w:w="90"/>
              <w:bottom w:type="dxa" w:w="60"/>
              <w:right w:type="dxa" w:w="90"/>
            </w:tcMar>
          </w:tcPr>
          <w:p>
            <w:r>
              <w:rPr>
                <w:rFonts w:ascii="Times New Roman" w:cs="Times New Roman" w:eastAsia="Times New Roman" w:hAnsi="Times New Roman"/>
                <w:b/>
                <w:bCs/>
                <w:sz w:val="19"/>
                <w:szCs w:val="19"/>
              </w:rPr>
              <w:t xml:space="preserve">NLTK+LR</w:t>
            </w:r>
          </w:p>
        </w:tc>
      </w:tr>
      <w:tr>
        <w:trPr>
          <w:tblHeader w:val="false"/>
        </w:trPr>
        <w:tc>
          <w:tcPr>
            <w:tcW w:type="dxa" w:w="15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tweet_topic</w:t>
            </w:r>
          </w:p>
        </w:tc>
        <w:tc>
          <w:tcPr>
            <w:tcW w:type="dxa" w:w="16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70.99 / 28.56</w:t>
            </w:r>
          </w:p>
        </w:tc>
        <w:tc>
          <w:tcPr>
            <w:tcW w:type="dxa" w:w="17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70.73 / 36.18</w:t>
            </w:r>
          </w:p>
        </w:tc>
        <w:tc>
          <w:tcPr>
            <w:tcW w:type="dxa" w:w="13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-0.26</w:t>
            </w:r>
          </w:p>
        </w:tc>
        <w:tc>
          <w:tcPr>
            <w:tcW w:type="dxa" w:w="17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70.43 / 27.84</w:t>
            </w:r>
          </w:p>
        </w:tc>
        <w:tc>
          <w:tcPr>
            <w:tcW w:type="dxa" w:w="17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72.32 / 36.95</w:t>
            </w:r>
          </w:p>
        </w:tc>
      </w:tr>
      <w:tr>
        <w:trPr>
          <w:tblHeader w:val="false"/>
        </w:trPr>
        <w:tc>
          <w:tcPr>
            <w:tcW w:type="dxa" w:w="15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go_emotions</w:t>
            </w:r>
          </w:p>
        </w:tc>
        <w:tc>
          <w:tcPr>
            <w:tcW w:type="dxa" w:w="16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37.78 / 4.88</w:t>
            </w:r>
          </w:p>
        </w:tc>
        <w:tc>
          <w:tcPr>
            <w:tcW w:type="dxa" w:w="17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55.36 / 33.97</w:t>
            </w:r>
          </w:p>
        </w:tc>
        <w:tc>
          <w:tcPr>
            <w:tcW w:type="dxa" w:w="13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+17.58</w:t>
            </w:r>
          </w:p>
        </w:tc>
        <w:tc>
          <w:tcPr>
            <w:tcW w:type="dxa" w:w="17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37.78 / 4.81</w:t>
            </w:r>
          </w:p>
        </w:tc>
        <w:tc>
          <w:tcPr>
            <w:tcW w:type="dxa" w:w="17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55.27 / 33.86</w:t>
            </w:r>
          </w:p>
        </w:tc>
      </w:tr>
      <w:tr>
        <w:trPr>
          <w:tblHeader w:val="false"/>
        </w:trPr>
        <w:tc>
          <w:tcPr>
            <w:tcW w:type="dxa" w:w="15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ag_news</w:t>
            </w:r>
          </w:p>
        </w:tc>
        <w:tc>
          <w:tcPr>
            <w:tcW w:type="dxa" w:w="16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90.38 / 90.35</w:t>
            </w:r>
          </w:p>
        </w:tc>
        <w:tc>
          <w:tcPr>
            <w:tcW w:type="dxa" w:w="17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91.88 / 91.86</w:t>
            </w:r>
          </w:p>
        </w:tc>
        <w:tc>
          <w:tcPr>
            <w:tcW w:type="dxa" w:w="13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+1.50</w:t>
            </w:r>
          </w:p>
        </w:tc>
        <w:tc>
          <w:tcPr>
            <w:tcW w:type="dxa" w:w="17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90.08 / 90.05</w:t>
            </w:r>
          </w:p>
        </w:tc>
        <w:tc>
          <w:tcPr>
            <w:tcW w:type="dxa" w:w="17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91.88 / 91.87</w:t>
            </w:r>
          </w:p>
        </w:tc>
      </w:tr>
    </w:tbl>
    <w:p>
      <w:pPr>
        <w:spacing w:after="120"/>
      </w:pPr>
    </w:p>
    <w:p>
      <w:pPr>
        <w:spacing w:after="60" w:before="120"/>
        <w:jc w:val="center"/>
      </w:pPr>
      <w:r>
        <w:drawing>
          <wp:inline distT="0" distB="0" distL="0" distR="0">
            <wp:extent cx="4953000" cy="1800225"/>
            <wp:effectExtent t="0" r="0" b="0" l="0"/>
            <wp:docPr id="1" name="results/figures/existing_vs_proposed.png" descr="results/figures/existing_vs_proposed.png" title="results/figures/existing_vs_propo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18002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Existing versus proposed (results/figures/existing_vs_proposed.png)</w:t>
      </w:r>
    </w:p>
    <w:p>
      <w:pPr>
        <w:pStyle w:val="Heading2"/>
        <w:spacing w:after="100" w:before="220"/>
      </w:pPr>
      <w:r>
        <w:rPr>
          <w:rFonts w:ascii="Times New Roman" w:cs="Times New Roman" w:eastAsia="Times New Roman" w:hAnsi="Times New Roman"/>
          <w:b/>
          <w:bCs/>
          <w:sz w:val="26"/>
          <w:szCs w:val="26"/>
        </w:rPr>
        <w:t xml:space="preserve">4.3 Where the gain actually comes from</w:t>
      </w:r>
    </w:p>
    <w:p>
      <w:pPr>
        <w:spacing w:after="160" w:line="320"/>
        <w:jc w:val="both"/>
      </w:pPr>
      <w:r>
        <w:rPr>
          <w:rFonts w:ascii="Times New Roman" w:cs="Times New Roman" w:eastAsia="Times New Roman" w:hAnsi="Times New Roman"/>
          <w:sz w:val="24"/>
          <w:szCs w:val="24"/>
        </w:rPr>
        <w:t xml:space="preserve">When we split the gain into its two parts, almost all of it turns out to come from changing the classifier from Naive Bayes to Logistic Regression, not from the tokenizer. If we change only the tokenizer, from NLTK to LexFront with Logistic Regression held fixed, LexFront matches NLTK on go_emotions (+0.09, with an interval that includes 0) and on ag_news (+0.00, interval also includes 0). On tweet_topic it is actually 1.59 points lower, and that gap is significant (McNemar p &lt; 0.001). Table 4 lays this out.</w:t>
      </w:r>
    </w:p>
    <w:p>
      <w:pPr>
        <w:spacing w:after="200"/>
        <w:jc w:val="center"/>
      </w:pPr>
      <w:r>
        <w:rPr>
          <w:rFonts w:ascii="Times New Roman" w:cs="Times New Roman" w:eastAsia="Times New Roman" w:hAnsi="Times New Roman"/>
          <w:i/>
          <w:iCs/>
          <w:sz w:val="20"/>
          <w:szCs w:val="20"/>
        </w:rPr>
        <w:t xml:space="preserve">Table 4. Splitting the gain into classifier and tokenizer effects (accuracy, points)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900"/>
      </w:tblGrid>
      <w:tr>
        <w:trPr>
          <w:tblHeader/>
        </w:trPr>
        <w:tc>
          <w:tcPr>
            <w:tcW w:type="dxa" w:w="2400"/>
            <w:tcBorders>
              <w:top w:val="single" w:color="888888" w:sz="4"/>
              <w:left w:val="single" w:color="888888" w:sz="4"/>
              <w:bottom w:val="single" w:color="888888" w:sz="4"/>
              <w:right w:val="single" w:color="888888" w:sz="4"/>
            </w:tcBorders>
            <w:shd w:fill="E7E6E6" w:color="auto" w:val="clear"/>
            <w:tcMar>
              <w:top w:type="dxa" w:w="60"/>
              <w:left w:type="dxa" w:w="90"/>
              <w:bottom w:type="dxa" w:w="60"/>
              <w:right w:type="dxa" w:w="90"/>
            </w:tcMar>
          </w:tcPr>
          <w:p>
            <w:r>
              <w:rPr>
                <w:rFonts w:ascii="Times New Roman" w:cs="Times New Roman" w:eastAsia="Times New Roman" w:hAnsi="Times New Roman"/>
                <w:b/>
                <w:bCs/>
                <w:sz w:val="19"/>
                <w:szCs w:val="19"/>
              </w:rPr>
              <w:t xml:space="preserve">Dataset</w:t>
            </w:r>
          </w:p>
        </w:tc>
        <w:tc>
          <w:tcPr>
            <w:tcW w:type="dxa" w:w="3200"/>
            <w:tcBorders>
              <w:top w:val="single" w:color="888888" w:sz="4"/>
              <w:left w:val="single" w:color="888888" w:sz="4"/>
              <w:bottom w:val="single" w:color="888888" w:sz="4"/>
              <w:right w:val="single" w:color="888888" w:sz="4"/>
            </w:tcBorders>
            <w:shd w:fill="E7E6E6" w:color="auto" w:val="clear"/>
            <w:tcMar>
              <w:top w:type="dxa" w:w="60"/>
              <w:left w:type="dxa" w:w="90"/>
              <w:bottom w:type="dxa" w:w="60"/>
              <w:right w:type="dxa" w:w="90"/>
            </w:tcMar>
          </w:tcPr>
          <w:p>
            <w:r>
              <w:rPr>
                <w:rFonts w:ascii="Times New Roman" w:cs="Times New Roman" w:eastAsia="Times New Roman" w:hAnsi="Times New Roman"/>
                <w:b/>
                <w:bCs/>
                <w:sz w:val="19"/>
                <w:szCs w:val="19"/>
              </w:rPr>
              <w:t xml:space="preserve">NB to LR (NLTK fixed)</w:t>
            </w:r>
          </w:p>
        </w:tc>
        <w:tc>
          <w:tcPr>
            <w:tcW w:type="dxa" w:w="3900"/>
            <w:tcBorders>
              <w:top w:val="single" w:color="888888" w:sz="4"/>
              <w:left w:val="single" w:color="888888" w:sz="4"/>
              <w:bottom w:val="single" w:color="888888" w:sz="4"/>
              <w:right w:val="single" w:color="888888" w:sz="4"/>
            </w:tcBorders>
            <w:shd w:fill="E7E6E6" w:color="auto" w:val="clear"/>
            <w:tcMar>
              <w:top w:type="dxa" w:w="60"/>
              <w:left w:type="dxa" w:w="90"/>
              <w:bottom w:type="dxa" w:w="60"/>
              <w:right w:type="dxa" w:w="90"/>
            </w:tcMar>
          </w:tcPr>
          <w:p>
            <w:r>
              <w:rPr>
                <w:rFonts w:ascii="Times New Roman" w:cs="Times New Roman" w:eastAsia="Times New Roman" w:hAnsi="Times New Roman"/>
                <w:b/>
                <w:bCs/>
                <w:sz w:val="19"/>
                <w:szCs w:val="19"/>
              </w:rPr>
              <w:t xml:space="preserve">NLTK to LexFront (LR fixed)</w:t>
            </w:r>
          </w:p>
        </w:tc>
      </w:tr>
      <w:tr>
        <w:trPr>
          <w:tblHeader w:val="false"/>
        </w:trPr>
        <w:tc>
          <w:tcPr>
            <w:tcW w:type="dxa" w:w="24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tweet_topic</w:t>
            </w:r>
          </w:p>
        </w:tc>
        <w:tc>
          <w:tcPr>
            <w:tcW w:type="dxa" w:w="32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+1.32</w:t>
            </w:r>
          </w:p>
        </w:tc>
        <w:tc>
          <w:tcPr>
            <w:tcW w:type="dxa" w:w="39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-1.59 [-2.38, -0.82], p &lt; 0.001</w:t>
            </w:r>
          </w:p>
        </w:tc>
      </w:tr>
      <w:tr>
        <w:trPr>
          <w:tblHeader w:val="false"/>
        </w:trPr>
        <w:tc>
          <w:tcPr>
            <w:tcW w:type="dxa" w:w="24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go_emotions</w:t>
            </w:r>
          </w:p>
        </w:tc>
        <w:tc>
          <w:tcPr>
            <w:tcW w:type="dxa" w:w="32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+17.49</w:t>
            </w:r>
          </w:p>
        </w:tc>
        <w:tc>
          <w:tcPr>
            <w:tcW w:type="dxa" w:w="39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+0.09 [-0.35, +0.54]</w:t>
            </w:r>
          </w:p>
        </w:tc>
      </w:tr>
      <w:tr>
        <w:trPr>
          <w:tblHeader w:val="false"/>
        </w:trPr>
        <w:tc>
          <w:tcPr>
            <w:tcW w:type="dxa" w:w="24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ag_news</w:t>
            </w:r>
          </w:p>
        </w:tc>
        <w:tc>
          <w:tcPr>
            <w:tcW w:type="dxa" w:w="32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+1.50</w:t>
            </w:r>
          </w:p>
        </w:tc>
        <w:tc>
          <w:tcPr>
            <w:tcW w:type="dxa" w:w="3900"/>
            <w:tcBorders>
              <w:top w:val="single" w:color="888888" w:sz="4"/>
              <w:left w:val="single" w:color="888888" w:sz="4"/>
              <w:bottom w:val="single" w:color="888888" w:sz="4"/>
              <w:right w:val="single" w:color="888888" w:sz="4"/>
            </w:tcBorders>
            <w:tcMar>
              <w:top w:type="dxa" w:w="60"/>
              <w:left w:type="dxa" w:w="90"/>
              <w:bottom w:type="dxa" w:w="60"/>
              <w:right w:type="dxa" w:w="90"/>
            </w:tcMar>
          </w:tcPr>
          <w:p>
            <w:r>
              <w:rPr>
                <w:rFonts w:ascii="Times New Roman" w:cs="Times New Roman" w:eastAsia="Times New Roman" w:hAnsi="Times New Roman"/>
                <w:b w:val="false"/>
                <w:bCs w:val="false"/>
                <w:sz w:val="19"/>
                <w:szCs w:val="19"/>
              </w:rPr>
              <w:t xml:space="preserve">+0.00 [-0.32, +0.33]</w:t>
            </w:r>
          </w:p>
        </w:tc>
      </w:tr>
    </w:tbl>
    <w:p>
      <w:pPr>
        <w:spacing w:after="120"/>
      </w:pPr>
    </w:p>
    <w:p>
      <w:pPr>
        <w:spacing w:after="160" w:line="320"/>
        <w:jc w:val="both"/>
      </w:pPr>
      <w:r>
        <w:rPr>
          <w:rFonts w:ascii="Times New Roman" w:cs="Times New Roman" w:eastAsia="Times New Roman" w:hAnsi="Times New Roman"/>
          <w:sz w:val="24"/>
          <w:szCs w:val="24"/>
        </w:rPr>
        <w:t xml:space="preserve">So we are not claiming that LexFront is better. What the data support is that it does about as well as NLTK on two of the datasets and a bit worse on one.</w:t>
      </w:r>
    </w:p>
    <w:p>
      <w:pPr>
        <w:pStyle w:val="Heading2"/>
        <w:spacing w:after="100" w:before="220"/>
      </w:pPr>
      <w:r>
        <w:rPr>
          <w:rFonts w:ascii="Times New Roman" w:cs="Times New Roman" w:eastAsia="Times New Roman" w:hAnsi="Times New Roman"/>
          <w:b/>
          <w:bCs/>
          <w:sz w:val="26"/>
          <w:szCs w:val="26"/>
        </w:rPr>
        <w:t xml:space="preserve">4.4 Intrinsic tokenizer metrics</w:t>
      </w:r>
    </w:p>
    <w:p>
      <w:pPr>
        <w:spacing w:after="160" w:line="320"/>
        <w:jc w:val="both"/>
      </w:pPr>
      <w:r>
        <w:rPr>
          <w:rFonts w:ascii="Times New Roman" w:cs="Times New Roman" w:eastAsia="Times New Roman" w:hAnsi="Times New Roman"/>
          <w:sz w:val="24"/>
          <w:szCs w:val="24"/>
        </w:rPr>
        <w:t xml:space="preserve">Among the word-level tokenizers, LexFront has the lowest out-of-vocabulary rate and the smallest vocabulary on all three datasets. For example, on ag_news its OOV rate is 0.48% against 0.96% for NLTK, and its vocabulary has 65,337 types against 98,994. We should be careful about reading too much into this. Part of it is built in, because replacing things with placeholders and collapsing repeated letters naturally shrinks the vocabulary. It does not by itself show better classification, and the accuracy results above are the real check on that. The numbers come from results/module2/intrinsic__*.json.</w:t>
      </w:r>
    </w:p>
    <w:p>
      <w:pPr>
        <w:spacing w:after="60" w:before="120"/>
        <w:jc w:val="center"/>
      </w:pPr>
      <w:r>
        <w:drawing>
          <wp:inline distT="0" distB="0" distL="0" distR="0">
            <wp:extent cx="5334000" cy="1524000"/>
            <wp:effectExtent t="0" r="0" b="0" l="0"/>
            <wp:docPr id="1" name="results/figures/intrinsic_metrics.png" descr="results/figures/intrinsic_metrics.png" title="results/figures/intrinsic_metr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5240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Intrinsic metrics (results/figures/intrinsic_metrics.png)</w:t>
      </w:r>
    </w:p>
    <w:p>
      <w:pPr>
        <w:pStyle w:val="Heading2"/>
        <w:spacing w:after="100" w:before="220"/>
      </w:pPr>
      <w:r>
        <w:rPr>
          <w:rFonts w:ascii="Times New Roman" w:cs="Times New Roman" w:eastAsia="Times New Roman" w:hAnsi="Times New Roman"/>
          <w:b/>
          <w:bCs/>
          <w:sz w:val="26"/>
          <w:szCs w:val="26"/>
        </w:rPr>
        <w:t xml:space="preserve">4.5 Case sensitivity and the per-rule ablation</w:t>
      </w:r>
    </w:p>
    <w:p>
      <w:pPr>
        <w:spacing w:after="160" w:line="320"/>
        <w:jc w:val="both"/>
      </w:pPr>
      <w:r>
        <w:rPr>
          <w:rFonts w:ascii="Times New Roman" w:cs="Times New Roman" w:eastAsia="Times New Roman" w:hAnsi="Times New Roman"/>
          <w:sz w:val="24"/>
          <w:szCs w:val="24"/>
        </w:rPr>
        <w:t xml:space="preserve">We also checked how much the case handling matters (results/sensitivity_case and results/ablation). When we switch off TF-IDF's own lowercasing, go_emotions flips to +1.15 points [+0.46, +1.85] in favour of LexFront over NLTK. The ablation traces this to the lowercase rule alone, since removing that rule gives -1.07 [-1.72, -0.44].</w:t>
      </w:r>
    </w:p>
    <w:p>
      <w:pPr>
        <w:spacing w:after="160" w:line="320"/>
        <w:jc w:val="both"/>
      </w:pPr>
      <w:r>
        <w:rPr>
          <w:rFonts w:ascii="Times New Roman" w:cs="Times New Roman" w:eastAsia="Times New Roman" w:hAnsi="Times New Roman"/>
          <w:sz w:val="24"/>
          <w:szCs w:val="24"/>
        </w:rPr>
        <w:t xml:space="preserve">For the rest of the rules, in the main setting no single-rule removal gives an accuracy interval that excludes 0. In total 6 of the 42 comparisons exclude 0, and around 2 would be expected just by chance. One more thing to keep in mind is that the URL rule never fires on tweet_topic and go_emotions, and the mention rule never fires on ag_news, because those datasets already mask URLs and handles. For those cases, removing the rule is not a real test of it.</w:t>
      </w:r>
    </w:p>
    <w:p>
      <w:pPr>
        <w:pStyle w:val="Heading2"/>
        <w:spacing w:after="100" w:before="220"/>
      </w:pPr>
      <w:r>
        <w:rPr>
          <w:rFonts w:ascii="Times New Roman" w:cs="Times New Roman" w:eastAsia="Times New Roman" w:hAnsi="Times New Roman"/>
          <w:b/>
          <w:bCs/>
          <w:sz w:val="26"/>
          <w:szCs w:val="26"/>
        </w:rPr>
        <w:t xml:space="preserve">4.6 Subword extensions</w:t>
      </w:r>
    </w:p>
    <w:p>
      <w:pPr>
        <w:spacing w:after="160" w:line="320"/>
        <w:jc w:val="both"/>
      </w:pPr>
      <w:r>
        <w:rPr>
          <w:rFonts w:ascii="Times New Roman" w:cs="Times New Roman" w:eastAsia="Times New Roman" w:hAnsi="Times New Roman"/>
          <w:sz w:val="24"/>
          <w:szCs w:val="24"/>
        </w:rPr>
        <w:t xml:space="preserve">The subword results are in results/bpe, results/bpe_v32000 and results/subword2. BPE with a vocabulary of 8,000 shows no accuracy gain over NLTK with Logistic Regression. The intervals include 0 on tweet_topic and go_emotions, and on ag_news it is 0.75 points lower. The LexFront + BPE hybrid is below LexFront alone on all three datasets, with 17 of 24 intervals excluding 0 at vocabulary 8,000, and all of them pointing downwards. WordPiece and Unigram (both at 8,000) behave similarly, as none of them is above NLTK with Logistic Regression in accuracy with an interval that excludes 0, and on ag_news both are below it.</w:t>
      </w:r>
    </w:p>
    <w:p>
      <w:pPr>
        <w:pStyle w:val="Heading1"/>
        <w:spacing w:after="140" w:before="320"/>
      </w:pPr>
      <w:r>
        <w:rPr>
          <w:rFonts w:ascii="Times New Roman" w:cs="Times New Roman" w:eastAsia="Times New Roman" w:hAnsi="Times New Roman"/>
          <w:b/>
          <w:bCs/>
          <w:sz w:val="30"/>
          <w:szCs w:val="30"/>
        </w:rPr>
        <w:t xml:space="preserve">5. Discussion and Limitations</w:t>
      </w:r>
    </w:p>
    <w:p>
      <w:pPr>
        <w:spacing w:after="160" w:line="320"/>
        <w:jc w:val="both"/>
      </w:pPr>
      <w:r>
        <w:rPr>
          <w:rFonts w:ascii="Times New Roman" w:cs="Times New Roman" w:eastAsia="Times New Roman" w:hAnsi="Times New Roman"/>
          <w:sz w:val="24"/>
          <w:szCs w:val="24"/>
        </w:rPr>
        <w:t xml:space="preserve">The main takeaway is that, for these datasets and this family of classifiers, the choice of tokenizer matters very little. The choice of classifier, Naive Bayes against Logistic Regression, matters far more. Any reasons we give for why a difference appears are only hypotheses, and we did not test them.</w:t>
      </w:r>
    </w:p>
    <w:p>
      <w:pPr>
        <w:spacing w:after="160" w:line="320"/>
        <w:jc w:val="both"/>
      </w:pPr>
      <w:r>
        <w:rPr>
          <w:rFonts w:ascii="Times New Roman" w:cs="Times New Roman" w:eastAsia="Times New Roman" w:hAnsi="Times New Roman"/>
          <w:sz w:val="24"/>
          <w:szCs w:val="24"/>
        </w:rPr>
        <w:t xml:space="preserve">There are some clear limits too. We used three datasets, one classifier family (TF-IDF with Naive Bayes or Logistic Regression) and one training run per cell, so we cannot say anything about transformers, Hinglish text or variation between training seeds. All fits are single-threaded, because the BLAS thread count changed some Logistic Regression metrics in the last digits (by at most 0.07 points). We also checked end to end that no test-set text leaks into the subword vocabularies.</w:t>
      </w:r>
    </w:p>
    <w:p>
      <w:pPr>
        <w:pStyle w:val="Heading1"/>
        <w:spacing w:after="140" w:before="320"/>
      </w:pPr>
      <w:r>
        <w:rPr>
          <w:rFonts w:ascii="Times New Roman" w:cs="Times New Roman" w:eastAsia="Times New Roman" w:hAnsi="Times New Roman"/>
          <w:b/>
          <w:bCs/>
          <w:sz w:val="30"/>
          <w:szCs w:val="30"/>
        </w:rPr>
        <w:t xml:space="preserve">6. Work Remaining</w:t>
      </w:r>
    </w:p>
    <w:p>
      <w:pPr>
        <w:spacing w:after="160" w:line="320"/>
        <w:jc w:val="both"/>
      </w:pPr>
      <w:r>
        <w:rPr>
          <w:rFonts w:ascii="Times New Roman" w:cs="Times New Roman" w:eastAsia="Times New Roman" w:hAnsi="Times New Roman"/>
          <w:sz w:val="24"/>
          <w:szCs w:val="24"/>
        </w:rPr>
        <w:t xml:space="preserve">Before the final review we still need to polish the report with figures and formatting, and prepare the demo script. Larger-scale evaluation and the effect of wider classifier settings are extension work, which this report does not cover.</w:t>
      </w:r>
    </w:p>
    <w:p>
      <w:pPr>
        <w:pStyle w:val="Heading1"/>
        <w:spacing w:after="140" w:before="320"/>
      </w:pPr>
      <w:r>
        <w:rPr>
          <w:rFonts w:ascii="Times New Roman" w:cs="Times New Roman" w:eastAsia="Times New Roman" w:hAnsi="Times New Roman"/>
          <w:b/>
          <w:bCs/>
          <w:sz w:val="30"/>
          <w:szCs w:val="30"/>
        </w:rPr>
        <w:t xml:space="preserve">7. Demo Plan</w:t>
      </w:r>
    </w:p>
    <w:p>
      <w:pPr>
        <w:spacing w:after="160" w:line="320"/>
        <w:jc w:val="both"/>
      </w:pPr>
      <w:r>
        <w:rPr>
          <w:rFonts w:ascii="Times New Roman" w:cs="Times New Roman" w:eastAsia="Times New Roman" w:hAnsi="Times New Roman"/>
          <w:sz w:val="24"/>
          <w:szCs w:val="24"/>
        </w:rPr>
        <w:t xml:space="preserve">For the demo we will run </w:t>
      </w:r>
      <w:r>
        <w:rPr>
          <w:rFonts w:ascii="Courier New" w:cs="Courier New" w:eastAsia="Courier New" w:hAnsi="Courier New"/>
          <w:sz w:val="21"/>
          <w:szCs w:val="21"/>
        </w:rPr>
        <w:t xml:space="preserve">notebooks/LexFront_Review1.ipynb</w:t>
      </w:r>
      <w:r>
        <w:rPr>
          <w:rFonts w:ascii="Times New Roman" w:cs="Times New Roman" w:eastAsia="Times New Roman" w:hAnsi="Times New Roman"/>
          <w:sz w:val="24"/>
          <w:szCs w:val="24"/>
        </w:rPr>
        <w:t xml:space="preserve"> on Colab. It runs on CPU in quick mode, from top to bottom. We will then show a noisy tweet going through LexFront, printing the token classes, the normalized tokens and the symbol table. After that we will show the minimized DFA from Figure 1 and walk a hashtag through the table-driven scanner step by step, and finish with the results tables from Section 4.</w:t>
      </w:r>
    </w:p>
    <w:p>
      <w:pPr>
        <w:pStyle w:val="Heading1"/>
        <w:spacing w:after="140" w:before="320"/>
      </w:pPr>
      <w:r>
        <w:rPr>
          <w:rFonts w:ascii="Times New Roman" w:cs="Times New Roman" w:eastAsia="Times New Roman" w:hAnsi="Times New Roman"/>
          <w:b/>
          <w:bCs/>
          <w:sz w:val="30"/>
          <w:szCs w:val="30"/>
        </w:rPr>
        <w:t xml:space="preserve">8. Repository Map</w:t>
      </w:r>
    </w:p>
    <w:p>
      <w:pPr>
        <w:spacing w:after="160" w:line="320"/>
        <w:jc w:val="both"/>
      </w:pPr>
      <w:r>
        <w:rPr>
          <w:rFonts w:ascii="Courier New" w:cs="Courier New" w:eastAsia="Courier New" w:hAnsi="Courier New"/>
          <w:sz w:val="21"/>
          <w:szCs w:val="21"/>
        </w:rPr>
        <w:t xml:space="preserve">lexer/</w:t>
      </w:r>
      <w:r>
        <w:rPr>
          <w:rFonts w:ascii="Times New Roman" w:cs="Times New Roman" w:eastAsia="Times New Roman" w:hAnsi="Times New Roman"/>
          <w:sz w:val="24"/>
          <w:szCs w:val="24"/>
        </w:rPr>
        <w:t xml:space="preserve"> holds the lexer and the DFA engine, </w:t>
      </w:r>
      <w:r>
        <w:rPr>
          <w:rFonts w:ascii="Courier New" w:cs="Courier New" w:eastAsia="Courier New" w:hAnsi="Courier New"/>
          <w:sz w:val="21"/>
          <w:szCs w:val="21"/>
        </w:rPr>
        <w:t xml:space="preserve">experiments/</w:t>
      </w:r>
      <w:r>
        <w:rPr>
          <w:rFonts w:ascii="Times New Roman" w:cs="Times New Roman" w:eastAsia="Times New Roman" w:hAnsi="Times New Roman"/>
          <w:sz w:val="24"/>
          <w:szCs w:val="24"/>
        </w:rPr>
        <w:t xml:space="preserve"> has the runners, and </w:t>
      </w:r>
      <w:r>
        <w:rPr>
          <w:rFonts w:ascii="Courier New" w:cs="Courier New" w:eastAsia="Courier New" w:hAnsi="Courier New"/>
          <w:sz w:val="21"/>
          <w:szCs w:val="21"/>
        </w:rPr>
        <w:t xml:space="preserve">results/</w:t>
      </w:r>
      <w:r>
        <w:rPr>
          <w:rFonts w:ascii="Times New Roman" w:cs="Times New Roman" w:eastAsia="Times New Roman" w:hAnsi="Times New Roman"/>
          <w:sz w:val="24"/>
          <w:szCs w:val="24"/>
        </w:rPr>
        <w:t xml:space="preserve"> has the JSON files, tables and figures. The module write-ups are in </w:t>
      </w:r>
      <w:r>
        <w:rPr>
          <w:rFonts w:ascii="Courier New" w:cs="Courier New" w:eastAsia="Courier New" w:hAnsi="Courier New"/>
          <w:sz w:val="21"/>
          <w:szCs w:val="21"/>
        </w:rPr>
        <w:t xml:space="preserve">docs/modules/</w:t>
      </w:r>
      <w:r>
        <w:rPr>
          <w:rFonts w:ascii="Times New Roman" w:cs="Times New Roman" w:eastAsia="Times New Roman" w:hAnsi="Times New Roman"/>
          <w:sz w:val="24"/>
          <w:szCs w:val="24"/>
        </w:rPr>
        <w:t xml:space="preserve">, the viva study guide is </w:t>
      </w:r>
      <w:r>
        <w:rPr>
          <w:rFonts w:ascii="Courier New" w:cs="Courier New" w:eastAsia="Courier New" w:hAnsi="Courier New"/>
          <w:sz w:val="21"/>
          <w:szCs w:val="21"/>
        </w:rPr>
        <w:t xml:space="preserve">docs/LEARN.md</w:t>
      </w:r>
      <w:r>
        <w:rPr>
          <w:rFonts w:ascii="Times New Roman" w:cs="Times New Roman" w:eastAsia="Times New Roman" w:hAnsi="Times New Roman"/>
          <w:sz w:val="24"/>
          <w:szCs w:val="24"/>
        </w:rPr>
        <w:t xml:space="preserve">, and the tests are in </w:t>
      </w:r>
      <w:r>
        <w:rPr>
          <w:rFonts w:ascii="Courier New" w:cs="Courier New" w:eastAsia="Courier New" w:hAnsi="Courier New"/>
          <w:sz w:val="21"/>
          <w:szCs w:val="21"/>
        </w:rPr>
        <w:t xml:space="preserve">tests/</w:t>
      </w:r>
      <w:r>
        <w:rPr>
          <w:rFonts w:ascii="Times New Roman" w:cs="Times New Roman" w:eastAsia="Times New Roman" w:hAnsi="Times New Roman"/>
          <w:sz w:val="24"/>
          <w:szCs w:val="24"/>
        </w:rPr>
        <w:t xml:space="preserv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2c83525c3a3bd27967f77737806600ff029456.png"/><Relationship Id="rId9" Type="http://schemas.openxmlformats.org/officeDocument/2006/relationships/image" Target="media/4813f06adeb36a841938c106127b26e7346268eb.png"/><Relationship Id="rId10" Type="http://schemas.openxmlformats.org/officeDocument/2006/relationships/image" Target="media/d8b0a961da74c4d7fc20d158525d015d154e287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2026-10-20T07:16:33.159Z</dcterms:created>
  <dcterms:modified xsi:type="dcterms:W3CDTF">2026-10-20T07:16:33.164Z</dcterms:modified>
</cp:coreProperties>
</file>

<file path=docProps/custom.xml><?xml version="1.0" encoding="utf-8"?>
<Properties xmlns="http://schemas.openxmlformats.org/officeDocument/2006/custom-properties" xmlns:vt="http://schemas.openxmlformats.org/officeDocument/2006/docPropsVTypes"/>
</file>