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A682E"/>
          <w:sz w:val="21"/>
        </w:rPr>
        <w:t>Stories Hotel Budapest</w:t>
      </w:r>
    </w:p>
    <w:p>
      <w:pPr>
        <w:pStyle w:val="Title"/>
        <w:pBdr>
          <w:bottom w:val="single" w:sz="10" w:space="6" w:color="B9904E"/>
        </w:pBdr>
      </w:pPr>
      <w:r>
        <w:t>Privacy Policy</w:t>
      </w:r>
    </w:p>
    <w:p>
      <w:pPr>
        <w:spacing w:before="160" w:after="40"/>
      </w:pPr>
      <w:r>
        <w:rPr>
          <w:color w:val="5A5A4E"/>
          <w:sz w:val="20"/>
        </w:rPr>
        <w:t>Data protection notice under the GDPR</w:t>
      </w:r>
    </w:p>
    <w:p>
      <w:pPr>
        <w:spacing w:after="320"/>
      </w:pPr>
      <w:r>
        <w:rPr>
          <w:color w:val="5A5A4E"/>
          <w:sz w:val="20"/>
        </w:rPr>
        <w:t>Draft for approval · prepared 24 August 2026 · version 1.0</w:t>
      </w:r>
    </w:p>
    <w:p>
      <w:pPr>
        <w:spacing w:after="160"/>
      </w:pPr>
      <w:r>
        <w:rPr>
          <w:sz w:val="21"/>
        </w:rPr>
        <w:t>This is the privacy notice that will be published on the hotel website. It sets out what personal data we collect, why, on what legal basis, how long we keep it, who else sees it, and what a guest can ask us to do about it.</w:t>
      </w:r>
    </w:p>
    <w:p>
      <w:pPr>
        <w:spacing w:after="160"/>
      </w:pPr>
      <w:r>
        <w:rPr>
          <w:sz w:val="21"/>
        </w:rPr>
        <w:t>It needs approval on two counts: the company identifiers below are missing and must be supplied, and a small number of factual statements need confirming.</w:t>
      </w:r>
    </w:p>
    <w:tbl>
      <w:tblPr>
        <w:tblStyle w:val="TableGrid"/>
        <w:tblW w:type="auto" w:w="0"/>
        <w:tblLook w:firstColumn="1" w:firstRow="1" w:lastColumn="0" w:lastRow="0" w:noHBand="0" w:noVBand="1" w:val="04A0"/>
      </w:tblPr>
      <w:tblGrid>
        <w:gridCol w:w="9411"/>
      </w:tblGrid>
      <w:tr>
        <w:tc>
          <w:tcPr>
            <w:tcW w:type="dxa" w:w="9411"/>
            <w:shd w:val="clear" w:color="auto" w:fill="FDF3F3"/>
          </w:tcPr>
          <w:p>
            <w:pPr>
              <w:spacing w:before="160" w:after="120"/>
            </w:pPr>
            <w:r>
              <w:rPr>
                <w:b/>
                <w:color w:val="9B2C2C"/>
                <w:sz w:val="20"/>
              </w:rPr>
              <w:t>Information required before this can be published</w:t>
            </w:r>
          </w:p>
          <w:p>
            <w:pPr>
              <w:pStyle w:val="ListBullet"/>
              <w:spacing w:after="40"/>
            </w:pPr>
            <w:r>
              <w:rPr>
                <w:sz w:val="19"/>
              </w:rPr>
              <w:t>Legal entity name — the company that operates the hotel</w:t>
            </w:r>
          </w:p>
          <w:p>
            <w:pPr>
              <w:pStyle w:val="ListBullet"/>
              <w:spacing w:after="40"/>
            </w:pPr>
            <w:r>
              <w:rPr>
                <w:sz w:val="19"/>
              </w:rPr>
              <w:t>Company registration number (cégjegyzékszám)</w:t>
            </w:r>
          </w:p>
          <w:p>
            <w:pPr>
              <w:pStyle w:val="ListBullet"/>
              <w:spacing w:after="40"/>
            </w:pPr>
            <w:r>
              <w:rPr>
                <w:sz w:val="19"/>
              </w:rPr>
              <w:t>Tax number (adószám)</w:t>
            </w:r>
          </w:p>
          <w:p>
            <w:pPr>
              <w:pStyle w:val="ListBullet"/>
              <w:spacing w:after="40"/>
            </w:pPr>
            <w:r>
              <w:rPr>
                <w:sz w:val="19"/>
              </w:rPr>
              <w:t>EU VAT number (közösségi adószám)</w:t>
            </w:r>
          </w:p>
          <w:p>
            <w:pPr>
              <w:pStyle w:val="ListBullet"/>
              <w:spacing w:after="40"/>
            </w:pPr>
            <w:r>
              <w:rPr>
                <w:sz w:val="19"/>
              </w:rPr>
              <w:t>Name of the representative</w:t>
            </w:r>
          </w:p>
          <w:p>
            <w:pPr>
              <w:pStyle w:val="ListBullet"/>
              <w:spacing w:after="40"/>
            </w:pPr>
            <w:r>
              <w:rPr>
                <w:sz w:val="19"/>
              </w:rPr>
              <w:t>Name and address of the accounting service provider</w:t>
            </w:r>
          </w:p>
          <w:p>
            <w:pPr>
              <w:spacing w:before="120" w:after="160"/>
            </w:pPr>
            <w:r>
              <w:rPr>
                <w:sz w:val="19"/>
              </w:rPr>
              <w:t>Every place these are needed is highlighted in yellow in the text below and reads [ TO BE SUPPLIED ]. There are 6 such fields in this document.</w:t>
            </w:r>
          </w:p>
        </w:tc>
      </w:tr>
    </w:tbl>
    <w:p>
      <w:pPr>
        <w:spacing w:after="80"/>
      </w:pPr>
    </w:p>
    <w:tbl>
      <w:tblPr>
        <w:tblStyle w:val="TableGrid"/>
        <w:tblW w:type="auto" w:w="0"/>
        <w:tblLook w:firstColumn="1" w:firstRow="1" w:lastColumn="0" w:lastRow="0" w:noHBand="0" w:noVBand="1" w:val="04A0"/>
      </w:tblPr>
      <w:tblGrid>
        <w:gridCol w:w="9411"/>
      </w:tblGrid>
      <w:tr>
        <w:tc>
          <w:tcPr>
            <w:tcW w:type="dxa" w:w="9411"/>
            <w:shd w:val="clear" w:color="auto" w:fill="F5F1E8"/>
          </w:tcPr>
          <w:p>
            <w:pPr>
              <w:spacing w:before="160" w:after="120"/>
            </w:pPr>
            <w:r>
              <w:rPr>
                <w:b/>
                <w:sz w:val="20"/>
              </w:rPr>
              <w:t>Points to confirm</w:t>
            </w:r>
          </w:p>
          <w:p>
            <w:pPr>
              <w:pStyle w:val="ListBullet"/>
              <w:spacing w:after="40"/>
            </w:pPr>
            <w:r>
              <w:rPr>
                <w:sz w:val="19"/>
              </w:rPr>
              <w:t>Payment — the policy states that full card numbers are not stored on our website, because payment is completed in the SabeeApp booking engine. Confirm, and name the payment provider if one should be listed.</w:t>
            </w:r>
          </w:p>
          <w:p>
            <w:pPr>
              <w:pStyle w:val="ListBullet"/>
              <w:spacing w:after="40"/>
            </w:pPr>
            <w:r>
              <w:rPr>
                <w:sz w:val="19"/>
              </w:rPr>
              <w:t>Retention periods follow the Civil Code (5 years) and the Accounting Act (8 years). Confirm no longer period applies to us.</w:t>
            </w:r>
          </w:p>
          <w:p>
            <w:pPr>
              <w:pStyle w:val="ListBullet"/>
              <w:spacing w:after="40"/>
            </w:pPr>
            <w:r>
              <w:rPr>
                <w:sz w:val="19"/>
              </w:rPr>
              <w:t>Cookies — the policy states plainly that the site runs no analytics and no advertising, because it currently does not. If analytics is added later this section must be rewritten and a consent banner added.</w:t>
            </w:r>
          </w:p>
          <w:p>
            <w:pPr>
              <w:spacing w:after="80"/>
            </w:pPr>
          </w:p>
        </w:tc>
      </w:tr>
    </w:tbl>
    <w:p>
      <w:pPr>
        <w:spacing w:after="120"/>
      </w:pPr>
    </w:p>
    <w:p>
      <w:pPr>
        <w:spacing w:after="80"/>
      </w:pPr>
      <w:r>
        <w:rPr>
          <w:b/>
          <w:sz w:val="20"/>
        </w:rPr>
        <w:t>Where this will be published</w:t>
      </w:r>
    </w:p>
    <w:p>
      <w:pPr>
        <w:spacing w:after="120"/>
      </w:pPr>
      <w:r>
        <w:rPr>
          <w:sz w:val="20"/>
        </w:rPr>
        <w:t>English:  https://secrethotel.netlify.app/privacy.html</w:t>
        <w:br/>
        <w:t>Hungarian:  https://secrethotel.netlify.app/hu/privacy.html</w:t>
        <w:br/>
        <w:br/>
        <w:t>The Hungarian version is a direct translation of this text — the substance is identical, so approving this document approves both. Both are linked from the footer of every page on the site.</w:t>
      </w:r>
    </w:p>
    <w:p>
      <w:r>
        <w:rPr>
          <w:i/>
          <w:color w:val="5A5A4E"/>
          <w:sz w:val="19"/>
        </w:rPr>
        <w:t>This draft was prepared following the structure of the group's existing Wonder Budapest documents, but every factual statement was written for this hotel rather than copied across. It is not legal advice and should be reviewed by a lawyer before publication.</w:t>
      </w:r>
    </w:p>
    <w:p>
      <w:r>
        <w:br w:type="page"/>
      </w:r>
    </w:p>
    <w:p>
      <w:pPr>
        <w:pStyle w:val="Title"/>
        <w:spacing w:after="40"/>
        <w:pBdr>
          <w:bottom w:val="single" w:sz="8" w:space="6" w:color="C9C1B0"/>
        </w:pBdr>
      </w:pPr>
      <w:r>
        <w:t>Privacy Policy</w:t>
      </w:r>
    </w:p>
    <w:p>
      <w:pPr>
        <w:spacing w:after="240"/>
      </w:pPr>
      <w:r>
        <w:rPr>
          <w:color w:val="5A5A4E"/>
          <w:sz w:val="18"/>
        </w:rPr>
        <w:t>Effective from 24 August 2026 · Version 1.0</w:t>
      </w:r>
    </w:p>
    <w:p>
      <w:pPr>
        <w:pStyle w:val="Heading1"/>
      </w:pPr>
      <w:r>
        <w:t>01  Who we are</w:t>
      </w:r>
    </w:p>
    <w:p>
      <w:pPr>
        <w:spacing w:after="120"/>
      </w:pPr>
      <w:r>
        <w:rPr>
          <w:b w:val="0"/>
          <w:i w:val="0"/>
          <w:sz w:val="20"/>
        </w:rPr>
        <w:t>Stories Hotel Budapest operates at Király utca 26 in the Twenty Six building, 1061 Budapest. We take the protection of personal data seriously, and this policy explains what we collect, why, on what legal basis, how long we keep it and what you can ask us to do about it.</w:t>
      </w:r>
    </w:p>
    <w:tbl>
      <w:tblPr>
        <w:tblStyle w:val="TableGrid"/>
        <w:tblW w:type="auto" w:w="0"/>
        <w:tblLayout w:type="fixed"/>
        <w:tblLook w:firstColumn="1" w:firstRow="1" w:lastColumn="0" w:lastRow="0" w:noHBand="0" w:noVBand="1" w:val="04A0"/>
      </w:tblPr>
      <w:tblGrid>
        <w:gridCol w:w="3061"/>
        <w:gridCol w:w="6350"/>
      </w:tblGrid>
      <w:tr>
        <w:trPr>
          <w:cantSplit/>
        </w:trPr>
        <w:tc>
          <w:tcPr>
            <w:tcW w:type="dxa" w:w="3061"/>
            <w:shd w:val="clear" w:color="auto" w:fill="F1EDE3"/>
          </w:tcPr>
          <w:p>
            <w:pPr>
              <w:spacing w:before="60" w:after="60"/>
            </w:pPr>
            <w:r>
              <w:rPr>
                <w:color w:val="5A5A4E"/>
                <w:sz w:val="17"/>
              </w:rPr>
              <w:t>Operator / Data Controller</w:t>
            </w:r>
          </w:p>
        </w:tc>
        <w:tc>
          <w:tcPr>
            <w:tcW w:type="dxa" w:w="6350"/>
          </w:tcPr>
          <w:p>
            <w:pPr>
              <w:spacing w:before="60" w:after="60"/>
            </w:pPr>
            <w:r>
              <w:rPr>
                <w:b/>
                <w:color w:val="9B2C2C"/>
                <w:sz w:val="19"/>
                <w:highlight w:val="yellow"/>
              </w:rPr>
              <w:t>[ TO BE SUPPLIED ]</w:t>
            </w:r>
          </w:p>
        </w:tc>
      </w:tr>
      <w:tr>
        <w:trPr>
          <w:cantSplit/>
        </w:trPr>
        <w:tc>
          <w:tcPr>
            <w:tcW w:type="dxa" w:w="3061"/>
            <w:shd w:val="clear" w:color="auto" w:fill="F1EDE3"/>
          </w:tcPr>
          <w:p>
            <w:pPr>
              <w:spacing w:before="60" w:after="60"/>
            </w:pPr>
            <w:r>
              <w:rPr>
                <w:color w:val="5A5A4E"/>
                <w:sz w:val="17"/>
              </w:rPr>
              <w:t>Company registration number</w:t>
            </w:r>
          </w:p>
        </w:tc>
        <w:tc>
          <w:tcPr>
            <w:tcW w:type="dxa" w:w="6350"/>
          </w:tcPr>
          <w:p>
            <w:pPr>
              <w:spacing w:before="60" w:after="60"/>
            </w:pPr>
            <w:r>
              <w:rPr>
                <w:b/>
                <w:color w:val="9B2C2C"/>
                <w:sz w:val="19"/>
                <w:highlight w:val="yellow"/>
              </w:rPr>
              <w:t>[ TO BE SUPPLIED ]</w:t>
            </w:r>
          </w:p>
        </w:tc>
      </w:tr>
      <w:tr>
        <w:trPr>
          <w:cantSplit/>
        </w:trPr>
        <w:tc>
          <w:tcPr>
            <w:tcW w:type="dxa" w:w="3061"/>
            <w:shd w:val="clear" w:color="auto" w:fill="F1EDE3"/>
          </w:tcPr>
          <w:p>
            <w:pPr>
              <w:spacing w:before="60" w:after="60"/>
            </w:pPr>
            <w:r>
              <w:rPr>
                <w:color w:val="5A5A4E"/>
                <w:sz w:val="17"/>
              </w:rPr>
              <w:t>Tax number</w:t>
            </w:r>
          </w:p>
        </w:tc>
        <w:tc>
          <w:tcPr>
            <w:tcW w:type="dxa" w:w="6350"/>
          </w:tcPr>
          <w:p>
            <w:pPr>
              <w:spacing w:before="60" w:after="60"/>
            </w:pPr>
            <w:r>
              <w:rPr>
                <w:b/>
                <w:color w:val="9B2C2C"/>
                <w:sz w:val="19"/>
                <w:highlight w:val="yellow"/>
              </w:rPr>
              <w:t>[ TO BE SUPPLIED ]</w:t>
            </w:r>
          </w:p>
        </w:tc>
      </w:tr>
      <w:tr>
        <w:trPr>
          <w:cantSplit/>
        </w:trPr>
        <w:tc>
          <w:tcPr>
            <w:tcW w:type="dxa" w:w="3061"/>
            <w:shd w:val="clear" w:color="auto" w:fill="F1EDE3"/>
          </w:tcPr>
          <w:p>
            <w:pPr>
              <w:spacing w:before="60" w:after="60"/>
            </w:pPr>
            <w:r>
              <w:rPr>
                <w:color w:val="5A5A4E"/>
                <w:sz w:val="17"/>
              </w:rPr>
              <w:t>EU VAT number</w:t>
            </w:r>
          </w:p>
        </w:tc>
        <w:tc>
          <w:tcPr>
            <w:tcW w:type="dxa" w:w="6350"/>
          </w:tcPr>
          <w:p>
            <w:pPr>
              <w:spacing w:before="60" w:after="60"/>
            </w:pPr>
            <w:r>
              <w:rPr>
                <w:b/>
                <w:color w:val="9B2C2C"/>
                <w:sz w:val="19"/>
                <w:highlight w:val="yellow"/>
              </w:rPr>
              <w:t>[ TO BE SUPPLIED ]</w:t>
            </w:r>
          </w:p>
        </w:tc>
      </w:tr>
      <w:tr>
        <w:trPr>
          <w:cantSplit/>
        </w:trPr>
        <w:tc>
          <w:tcPr>
            <w:tcW w:type="dxa" w:w="3061"/>
            <w:shd w:val="clear" w:color="auto" w:fill="F1EDE3"/>
          </w:tcPr>
          <w:p>
            <w:pPr>
              <w:spacing w:before="60" w:after="60"/>
            </w:pPr>
            <w:r>
              <w:rPr>
                <w:color w:val="5A5A4E"/>
                <w:sz w:val="17"/>
              </w:rPr>
              <w:t>Registered office</w:t>
            </w:r>
          </w:p>
        </w:tc>
        <w:tc>
          <w:tcPr>
            <w:tcW w:type="dxa" w:w="6350"/>
          </w:tcPr>
          <w:p>
            <w:pPr>
              <w:spacing w:before="60" w:after="60"/>
            </w:pPr>
            <w:r>
              <w:rPr>
                <w:sz w:val="19"/>
              </w:rPr>
              <w:t>Király utca 26, 1061 Budapest, Hungary</w:t>
            </w:r>
          </w:p>
        </w:tc>
      </w:tr>
      <w:tr>
        <w:trPr>
          <w:cantSplit/>
        </w:trPr>
        <w:tc>
          <w:tcPr>
            <w:tcW w:type="dxa" w:w="3061"/>
            <w:shd w:val="clear" w:color="auto" w:fill="F1EDE3"/>
          </w:tcPr>
          <w:p>
            <w:pPr>
              <w:spacing w:before="60" w:after="60"/>
            </w:pPr>
            <w:r>
              <w:rPr>
                <w:color w:val="5A5A4E"/>
                <w:sz w:val="17"/>
              </w:rPr>
              <w:t>E-mail</w:t>
            </w:r>
          </w:p>
        </w:tc>
        <w:tc>
          <w:tcPr>
            <w:tcW w:type="dxa" w:w="6350"/>
          </w:tcPr>
          <w:p>
            <w:pPr>
              <w:spacing w:before="60" w:after="60"/>
            </w:pPr>
            <w:r>
              <w:rPr>
                <w:sz w:val="19"/>
              </w:rPr>
              <w:t>info@storiesbudapest.com</w:t>
            </w:r>
          </w:p>
        </w:tc>
      </w:tr>
      <w:tr>
        <w:trPr>
          <w:cantSplit/>
        </w:trPr>
        <w:tc>
          <w:tcPr>
            <w:tcW w:type="dxa" w:w="3061"/>
            <w:shd w:val="clear" w:color="auto" w:fill="F1EDE3"/>
          </w:tcPr>
          <w:p>
            <w:pPr>
              <w:spacing w:before="60" w:after="60"/>
            </w:pPr>
            <w:r>
              <w:rPr>
                <w:color w:val="5A5A4E"/>
                <w:sz w:val="17"/>
              </w:rPr>
              <w:t>Telephone</w:t>
            </w:r>
          </w:p>
        </w:tc>
        <w:tc>
          <w:tcPr>
            <w:tcW w:type="dxa" w:w="6350"/>
          </w:tcPr>
          <w:p>
            <w:pPr>
              <w:spacing w:before="60" w:after="60"/>
            </w:pPr>
            <w:r>
              <w:rPr>
                <w:sz w:val="19"/>
              </w:rPr>
              <w:t>+36 1 808 0981</w:t>
            </w:r>
          </w:p>
        </w:tc>
      </w:tr>
      <w:tr>
        <w:trPr>
          <w:cantSplit/>
        </w:trPr>
        <w:tc>
          <w:tcPr>
            <w:tcW w:type="dxa" w:w="3061"/>
            <w:shd w:val="clear" w:color="auto" w:fill="F1EDE3"/>
          </w:tcPr>
          <w:p>
            <w:pPr>
              <w:spacing w:before="60" w:after="60"/>
            </w:pPr>
            <w:r>
              <w:rPr>
                <w:color w:val="5A5A4E"/>
                <w:sz w:val="17"/>
              </w:rPr>
              <w:t>Representative</w:t>
            </w:r>
          </w:p>
        </w:tc>
        <w:tc>
          <w:tcPr>
            <w:tcW w:type="dxa" w:w="6350"/>
          </w:tcPr>
          <w:p>
            <w:pPr>
              <w:spacing w:before="60" w:after="60"/>
            </w:pPr>
            <w:r>
              <w:rPr>
                <w:b/>
                <w:color w:val="9B2C2C"/>
                <w:sz w:val="19"/>
                <w:highlight w:val="yellow"/>
              </w:rPr>
              <w:t>[ TO BE SUPPLIED ]</w:t>
            </w:r>
          </w:p>
        </w:tc>
      </w:tr>
    </w:tbl>
    <w:p>
      <w:pPr>
        <w:spacing w:after="60"/>
      </w:pPr>
    </w:p>
    <w:p>
      <w:pPr>
        <w:spacing w:after="120"/>
      </w:pPr>
      <w:r>
        <w:rPr>
          <w:b w:val="0"/>
          <w:i w:val="0"/>
          <w:sz w:val="20"/>
        </w:rPr>
        <w:t>This policy applies to our website, our online booking process, our reservation and guest-service systems, and to correspondence with us.</w:t>
      </w:r>
    </w:p>
    <w:p>
      <w:pPr>
        <w:spacing w:after="120"/>
      </w:pPr>
      <w:r>
        <w:rPr>
          <w:b w:val="0"/>
          <w:i w:val="0"/>
          <w:sz w:val="20"/>
        </w:rPr>
        <w:t>We may amend this policy. The version in force is always the one published on this page. If we hold your e-mail address and the change is material, we will tell you.</w:t>
      </w:r>
    </w:p>
    <w:p>
      <w:pPr>
        <w:spacing w:after="120"/>
      </w:pPr>
      <w:r>
        <w:rPr>
          <w:b w:val="0"/>
          <w:i w:val="0"/>
          <w:sz w:val="20"/>
        </w:rPr>
        <w:t>Our processing complies with Regulation (EU) 2016/679 (GDPR), Act CXII of 2011 on informational self-determination and freedom of information, Act V of 2013 on the Civil Code, and Act CLV of 1997 on consumer protection.</w:t>
      </w:r>
    </w:p>
    <w:p>
      <w:pPr>
        <w:pStyle w:val="Heading1"/>
      </w:pPr>
      <w:r>
        <w:t>02  Key terms</w:t>
      </w:r>
    </w:p>
    <w:p>
      <w:pPr>
        <w:spacing w:after="120"/>
      </w:pPr>
      <w:r>
        <w:rPr>
          <w:b/>
          <w:i w:val="0"/>
          <w:sz w:val="20"/>
        </w:rPr>
        <w:t>Personal data</w:t>
      </w:r>
      <w:r>
        <w:rPr>
          <w:b w:val="0"/>
          <w:i w:val="0"/>
          <w:sz w:val="20"/>
        </w:rPr>
        <w:t xml:space="preserve"> — any information relating to an identified or identifiable natural person.</w:t>
      </w:r>
    </w:p>
    <w:p>
      <w:pPr>
        <w:spacing w:after="120"/>
      </w:pPr>
      <w:r>
        <w:rPr>
          <w:b/>
          <w:i w:val="0"/>
          <w:sz w:val="20"/>
        </w:rPr>
        <w:t>Processing</w:t>
      </w:r>
      <w:r>
        <w:rPr>
          <w:b w:val="0"/>
          <w:i w:val="0"/>
          <w:sz w:val="20"/>
        </w:rPr>
        <w:t xml:space="preserve"> — any operation performed on personal data: collection, recording, storage, alteration, use, disclosure, erasure and so on.</w:t>
      </w:r>
    </w:p>
    <w:p>
      <w:pPr>
        <w:spacing w:after="120"/>
      </w:pPr>
      <w:r>
        <w:rPr>
          <w:b/>
          <w:i w:val="0"/>
          <w:sz w:val="20"/>
        </w:rPr>
        <w:t>Controller</w:t>
      </w:r>
      <w:r>
        <w:rPr>
          <w:b w:val="0"/>
          <w:i w:val="0"/>
          <w:sz w:val="20"/>
        </w:rPr>
        <w:t xml:space="preserve"> — the party that determines the purposes and means of processing. For the activities described here, that is us.</w:t>
      </w:r>
    </w:p>
    <w:p>
      <w:pPr>
        <w:spacing w:after="120"/>
      </w:pPr>
      <w:r>
        <w:rPr>
          <w:b/>
          <w:i w:val="0"/>
          <w:sz w:val="20"/>
        </w:rPr>
        <w:t>Processor</w:t>
      </w:r>
      <w:r>
        <w:rPr>
          <w:b w:val="0"/>
          <w:i w:val="0"/>
          <w:sz w:val="20"/>
        </w:rPr>
        <w:t xml:space="preserve"> — a party that processes personal data on our instructions, such as our reservation system provider.</w:t>
      </w:r>
    </w:p>
    <w:p>
      <w:pPr>
        <w:spacing w:after="120"/>
      </w:pPr>
      <w:r>
        <w:rPr>
          <w:b/>
          <w:i w:val="0"/>
          <w:sz w:val="20"/>
        </w:rPr>
        <w:t>Data subject</w:t>
      </w:r>
      <w:r>
        <w:rPr>
          <w:b w:val="0"/>
          <w:i w:val="0"/>
          <w:sz w:val="20"/>
        </w:rPr>
        <w:t xml:space="preserve"> — you: a guest, a contractual partner, someone who contacts us, or a job applicant.</w:t>
      </w:r>
    </w:p>
    <w:p>
      <w:pPr>
        <w:pStyle w:val="Heading1"/>
      </w:pPr>
      <w:r>
        <w:t>03  Principles</w:t>
      </w:r>
    </w:p>
    <w:p>
      <w:pPr>
        <w:spacing w:after="120"/>
      </w:pPr>
      <w:r>
        <w:rPr>
          <w:b w:val="0"/>
          <w:i w:val="0"/>
          <w:sz w:val="20"/>
        </w:rPr>
        <w:t>We process personal data lawfully, fairly and transparently; only for specified and legitimate purposes; only to the extent necessary; accurately and kept up to date; for no longer than needed; and with appropriate security.</w:t>
      </w:r>
    </w:p>
    <w:p>
      <w:pPr>
        <w:pStyle w:val="Heading1"/>
      </w:pPr>
      <w:r>
        <w:t>04  What we process, and why</w:t>
      </w:r>
    </w:p>
    <w:p>
      <w:pPr>
        <w:pStyle w:val="Heading3"/>
      </w:pPr>
      <w:r>
        <w:t>4.1 Room reservation</w:t>
      </w:r>
    </w:p>
    <w:p>
      <w:pPr>
        <w:spacing w:after="120"/>
      </w:pPr>
      <w:r>
        <w:rPr>
          <w:b w:val="0"/>
          <w:i w:val="0"/>
          <w:sz w:val="20"/>
        </w:rPr>
        <w:t>To make and honour a booking we process your name, e-mail address, telephone number, address, billing details, arrival and departure dates, room type, number of guests, payment method, and any preference or request you tell us about (dietary needs, arrival time, accessibility requirements).</w:t>
      </w:r>
    </w:p>
    <w:p>
      <w:pPr>
        <w:spacing w:after="120"/>
      </w:pPr>
      <w:r>
        <w:rPr>
          <w:b w:val="0"/>
          <w:i w:val="0"/>
          <w:sz w:val="20"/>
        </w:rPr>
        <w:t>Where you book through a travel agency or an online travel platform, that party transfers the booking data to us.</w:t>
      </w:r>
    </w:p>
    <w:p>
      <w:pPr>
        <w:spacing w:after="120"/>
      </w:pPr>
      <w:r>
        <w:rPr>
          <w:b/>
          <w:i w:val="0"/>
          <w:sz w:val="20"/>
        </w:rPr>
        <w:t>Legal basis:</w:t>
      </w:r>
      <w:r>
        <w:rPr>
          <w:b w:val="0"/>
          <w:i w:val="0"/>
          <w:sz w:val="20"/>
        </w:rPr>
        <w:t xml:space="preserve"> performance of a contract, GDPR Article 6(1)(b).</w:t>
      </w:r>
      <w:r>
        <w:rPr>
          <w:sz w:val="20"/>
        </w:rPr>
        <w:br/>
      </w:r>
      <w:r>
        <w:rPr>
          <w:b/>
          <w:i w:val="0"/>
          <w:sz w:val="20"/>
        </w:rPr>
        <w:t>Retention:</w:t>
      </w:r>
      <w:r>
        <w:rPr>
          <w:b w:val="0"/>
          <w:i w:val="0"/>
          <w:sz w:val="20"/>
        </w:rPr>
        <w:t xml:space="preserve"> five years after the relationship ends, under section 6:22 of the Civil Code. Where the data forms part of accounting documentation, eight years under section 169 of Act C of 2000 on Accounting.</w:t>
      </w:r>
    </w:p>
    <w:p>
      <w:pPr>
        <w:pStyle w:val="Heading3"/>
      </w:pPr>
      <w:r>
        <w:t>4.2 The reservation and booking engine</w:t>
      </w:r>
    </w:p>
    <w:p>
      <w:pPr>
        <w:spacing w:after="120"/>
      </w:pPr>
      <w:r>
        <w:rPr>
          <w:b w:val="0"/>
          <w:i w:val="0"/>
          <w:sz w:val="20"/>
        </w:rPr>
        <w:t xml:space="preserve">Our online booking runs on </w:t>
      </w:r>
      <w:r>
        <w:rPr>
          <w:b/>
          <w:i w:val="0"/>
          <w:sz w:val="20"/>
        </w:rPr>
        <w:t>SabeeApp</w:t>
      </w:r>
      <w:r>
        <w:rPr>
          <w:b w:val="0"/>
          <w:i w:val="0"/>
          <w:sz w:val="20"/>
        </w:rPr>
        <w:t>, operated by thePass Kft. When you open the booking engine from our site, the dates and guest count you entered may be passed to it so you do not have to type them again. The booking itself is completed in SabeeApp under its own terms.</w:t>
      </w:r>
    </w:p>
    <w:p>
      <w:pPr>
        <w:spacing w:after="120"/>
      </w:pPr>
      <w:r>
        <w:rPr>
          <w:b/>
          <w:i w:val="0"/>
          <w:sz w:val="20"/>
        </w:rPr>
        <w:t>Legal basis:</w:t>
      </w:r>
      <w:r>
        <w:rPr>
          <w:b w:val="0"/>
          <w:i w:val="0"/>
          <w:sz w:val="20"/>
        </w:rPr>
        <w:t xml:space="preserve"> performance of a contract, Article 6(1)(b).</w:t>
      </w:r>
    </w:p>
    <w:p>
      <w:pPr>
        <w:pStyle w:val="Heading3"/>
      </w:pPr>
      <w:r>
        <w:t>4.3 Statutory guest registration (VIZA)</w:t>
      </w:r>
    </w:p>
    <w:p>
      <w:pPr>
        <w:spacing w:after="120"/>
      </w:pPr>
      <w:r>
        <w:rPr>
          <w:b w:val="0"/>
          <w:i w:val="0"/>
          <w:sz w:val="20"/>
        </w:rPr>
        <w:t xml:space="preserve">Hungarian law requires every accommodation provider to record the identity document of each guest at check-in and to transmit the data to the </w:t>
      </w:r>
      <w:r>
        <w:rPr>
          <w:b/>
          <w:i w:val="0"/>
          <w:sz w:val="20"/>
        </w:rPr>
        <w:t>VIZA</w:t>
      </w:r>
      <w:r>
        <w:rPr>
          <w:b w:val="0"/>
          <w:i w:val="0"/>
          <w:sz w:val="20"/>
        </w:rPr>
        <w:t xml:space="preserve"> closed guest information system. We use a document reader for this. Without a photo identity document we cannot accommodate you.</w:t>
      </w:r>
    </w:p>
    <w:p>
      <w:pPr>
        <w:spacing w:after="120"/>
      </w:pPr>
      <w:r>
        <w:rPr>
          <w:b w:val="0"/>
          <w:i w:val="0"/>
          <w:sz w:val="20"/>
        </w:rPr>
        <w:t>The data recorded: surname and forename, birth name, place and date of birth, sex, nationality, mother's birth name, identity or travel document data and its scanned image, visa or residence permit number for third-country nationals, date and place of entry, the address of the accommodation, and the start and end dates of the stay.</w:t>
      </w:r>
    </w:p>
    <w:p>
      <w:pPr>
        <w:spacing w:after="120"/>
      </w:pPr>
      <w:r>
        <w:rPr>
          <w:b/>
          <w:i w:val="0"/>
          <w:sz w:val="20"/>
        </w:rPr>
        <w:t>Legal basis:</w:t>
      </w:r>
      <w:r>
        <w:rPr>
          <w:b w:val="0"/>
          <w:i w:val="0"/>
          <w:sz w:val="20"/>
        </w:rPr>
        <w:t xml:space="preserve"> compliance with a legal obligation, Article 6(1)(c), under Act CLVI of 2016.</w:t>
      </w:r>
      <w:r>
        <w:rPr>
          <w:sz w:val="20"/>
        </w:rPr>
        <w:br/>
      </w:r>
      <w:r>
        <w:rPr>
          <w:b/>
          <w:i w:val="0"/>
          <w:sz w:val="20"/>
        </w:rPr>
        <w:t>Retention:</w:t>
      </w:r>
      <w:r>
        <w:rPr>
          <w:b w:val="0"/>
          <w:i w:val="0"/>
          <w:sz w:val="20"/>
        </w:rPr>
        <w:t xml:space="preserve"> until the last day of the first year after the data is recorded; the VIZA system retains transmitted data for up to two years.</w:t>
      </w:r>
    </w:p>
    <w:p>
      <w:pPr>
        <w:pStyle w:val="Heading3"/>
      </w:pPr>
      <w:r>
        <w:t>4.4 Payment and card data</w:t>
      </w:r>
    </w:p>
    <w:p>
      <w:pPr>
        <w:spacing w:after="120"/>
      </w:pPr>
      <w:r>
        <w:rPr>
          <w:b w:val="0"/>
          <w:i w:val="0"/>
          <w:sz w:val="20"/>
        </w:rPr>
        <w:t>To guarantee a reservation or take payment we process the cardholder name, card number and expiry date. Card data entered in the booking engine is handled by the payment provider — we do not store full card numbers on our website.</w:t>
      </w:r>
    </w:p>
    <w:p>
      <w:pPr>
        <w:spacing w:after="120"/>
      </w:pPr>
      <w:r>
        <w:rPr>
          <w:b/>
          <w:i w:val="0"/>
          <w:sz w:val="20"/>
        </w:rPr>
        <w:t>Legal basis:</w:t>
      </w:r>
      <w:r>
        <w:rPr>
          <w:b w:val="0"/>
          <w:i w:val="0"/>
          <w:sz w:val="20"/>
        </w:rPr>
        <w:t xml:space="preserve"> performance of a contract, Article 6(1)(b).</w:t>
      </w:r>
      <w:r>
        <w:rPr>
          <w:sz w:val="20"/>
        </w:rPr>
        <w:br/>
      </w:r>
      <w:r>
        <w:rPr>
          <w:b/>
          <w:i w:val="0"/>
          <w:sz w:val="20"/>
        </w:rPr>
        <w:t>Retention:</w:t>
      </w:r>
      <w:r>
        <w:rPr>
          <w:b w:val="0"/>
          <w:i w:val="0"/>
          <w:sz w:val="20"/>
        </w:rPr>
        <w:t xml:space="preserve"> card guarantee data is deleted no later than eight calendar days after departure.</w:t>
      </w:r>
    </w:p>
    <w:p>
      <w:pPr>
        <w:pStyle w:val="Heading3"/>
      </w:pPr>
      <w:r>
        <w:t>4.5 Contacting us</w:t>
      </w:r>
    </w:p>
    <w:p>
      <w:pPr>
        <w:spacing w:after="120"/>
      </w:pPr>
      <w:r>
        <w:rPr>
          <w:b w:val="0"/>
          <w:i w:val="0"/>
          <w:sz w:val="20"/>
        </w:rPr>
        <w:t>If you write to us through the contact form, by e-mail, by telephone or over WhatsApp, we process your name, e-mail address, telephone number where given, the subject you select and the content of your message, so that we can answer you. The form also records which language version of the site you used, so we can reply in that language.</w:t>
      </w:r>
    </w:p>
    <w:p>
      <w:pPr>
        <w:spacing w:after="120"/>
      </w:pPr>
      <w:r>
        <w:rPr>
          <w:b/>
          <w:i w:val="0"/>
          <w:sz w:val="20"/>
        </w:rPr>
        <w:t>Legal basis:</w:t>
      </w:r>
      <w:r>
        <w:rPr>
          <w:b w:val="0"/>
          <w:i w:val="0"/>
          <w:sz w:val="20"/>
        </w:rPr>
        <w:t xml:space="preserve"> your consent, Article 6(1)(a), or the steps taken at your request prior to entering a contract, Article 6(1)(b).</w:t>
      </w:r>
      <w:r>
        <w:rPr>
          <w:sz w:val="20"/>
        </w:rPr>
        <w:br/>
      </w:r>
      <w:r>
        <w:rPr>
          <w:b/>
          <w:i w:val="0"/>
          <w:sz w:val="20"/>
        </w:rPr>
        <w:t>Retention:</w:t>
      </w:r>
      <w:r>
        <w:rPr>
          <w:b w:val="0"/>
          <w:i w:val="0"/>
          <w:sz w:val="20"/>
        </w:rPr>
        <w:t xml:space="preserve"> until you withdraw your consent, or for as long as needed to deal with your enquiry. Write to </w:t>
      </w:r>
      <w:r>
        <w:rPr>
          <w:b w:val="0"/>
          <w:i w:val="0"/>
          <w:sz w:val="20"/>
        </w:rPr>
        <w:t>info@storiesbudapest.com</w:t>
      </w:r>
      <w:r>
        <w:rPr>
          <w:b w:val="0"/>
          <w:i w:val="0"/>
          <w:sz w:val="20"/>
        </w:rPr>
        <w:t xml:space="preserve"> to withdraw it.</w:t>
      </w:r>
    </w:p>
    <w:p>
      <w:pPr>
        <w:pStyle w:val="Heading3"/>
      </w:pPr>
      <w:r>
        <w:t>4.6 Invoicing</w:t>
      </w:r>
    </w:p>
    <w:p>
      <w:pPr>
        <w:spacing w:after="120"/>
      </w:pPr>
      <w:r>
        <w:rPr>
          <w:b w:val="0"/>
          <w:i w:val="0"/>
          <w:sz w:val="20"/>
        </w:rPr>
        <w:t>We issue invoices under Hungarian tax law and process the data those require: name, billing address and, for business invoices, tax number.</w:t>
      </w:r>
    </w:p>
    <w:p>
      <w:pPr>
        <w:spacing w:after="120"/>
      </w:pPr>
      <w:r>
        <w:rPr>
          <w:b/>
          <w:i w:val="0"/>
          <w:sz w:val="20"/>
        </w:rPr>
        <w:t>Legal basis:</w:t>
      </w:r>
      <w:r>
        <w:rPr>
          <w:b w:val="0"/>
          <w:i w:val="0"/>
          <w:sz w:val="20"/>
        </w:rPr>
        <w:t xml:space="preserve"> compliance with a legal obligation, Article 6(1)(c).</w:t>
      </w:r>
      <w:r>
        <w:rPr>
          <w:sz w:val="20"/>
        </w:rPr>
        <w:br/>
      </w:r>
      <w:r>
        <w:rPr>
          <w:b/>
          <w:i w:val="0"/>
          <w:sz w:val="20"/>
        </w:rPr>
        <w:t>Retention:</w:t>
      </w:r>
      <w:r>
        <w:rPr>
          <w:b w:val="0"/>
          <w:i w:val="0"/>
          <w:sz w:val="20"/>
        </w:rPr>
        <w:t xml:space="preserve"> eight years, section 169 of the Accounting Act.</w:t>
      </w:r>
    </w:p>
    <w:p>
      <w:pPr>
        <w:pStyle w:val="Heading3"/>
      </w:pPr>
      <w:r>
        <w:t>4.7 Complaints</w:t>
      </w:r>
    </w:p>
    <w:p>
      <w:pPr>
        <w:spacing w:after="120"/>
      </w:pPr>
      <w:r>
        <w:rPr>
          <w:b w:val="0"/>
          <w:i w:val="0"/>
          <w:sz w:val="20"/>
        </w:rPr>
        <w:t>If you complain, we record your name, contact details, the substance of the complaint and our response.</w:t>
      </w:r>
    </w:p>
    <w:p>
      <w:pPr>
        <w:spacing w:after="120"/>
      </w:pPr>
      <w:r>
        <w:rPr>
          <w:b/>
          <w:i w:val="0"/>
          <w:sz w:val="20"/>
        </w:rPr>
        <w:t>Legal basis:</w:t>
      </w:r>
      <w:r>
        <w:rPr>
          <w:b w:val="0"/>
          <w:i w:val="0"/>
          <w:sz w:val="20"/>
        </w:rPr>
        <w:t xml:space="preserve"> compliance with a legal obligation, Article 6(1)(c), under the Consumer Protection Act.</w:t>
      </w:r>
      <w:r>
        <w:rPr>
          <w:sz w:val="20"/>
        </w:rPr>
        <w:br/>
      </w:r>
      <w:r>
        <w:rPr>
          <w:b/>
          <w:i w:val="0"/>
          <w:sz w:val="20"/>
        </w:rPr>
        <w:t>Retention:</w:t>
      </w:r>
      <w:r>
        <w:rPr>
          <w:b w:val="0"/>
          <w:i w:val="0"/>
          <w:sz w:val="20"/>
        </w:rPr>
        <w:t xml:space="preserve"> five years.</w:t>
      </w:r>
    </w:p>
    <w:p>
      <w:pPr>
        <w:pStyle w:val="Heading3"/>
      </w:pPr>
      <w:r>
        <w:t>4.8 CCTV</w:t>
      </w:r>
    </w:p>
    <w:p>
      <w:pPr>
        <w:spacing w:after="120"/>
      </w:pPr>
      <w:r>
        <w:rPr>
          <w:b w:val="0"/>
          <w:i w:val="0"/>
          <w:sz w:val="20"/>
        </w:rPr>
        <w:t>Cameras operate in the common areas of the building for the protection of persons and property. There are no cameras in guest rooms, bathrooms or changing areas. Signage marks the monitored areas.</w:t>
      </w:r>
    </w:p>
    <w:p>
      <w:pPr>
        <w:spacing w:after="120"/>
      </w:pPr>
      <w:r>
        <w:rPr>
          <w:b/>
          <w:i w:val="0"/>
          <w:sz w:val="20"/>
        </w:rPr>
        <w:t>Legal basis:</w:t>
      </w:r>
      <w:r>
        <w:rPr>
          <w:b w:val="0"/>
          <w:i w:val="0"/>
          <w:sz w:val="20"/>
        </w:rPr>
        <w:t xml:space="preserve"> our legitimate interest, Article 6(1)(f), in protecting guests, staff and property.</w:t>
      </w:r>
      <w:r>
        <w:rPr>
          <w:sz w:val="20"/>
        </w:rPr>
        <w:br/>
      </w:r>
      <w:r>
        <w:rPr>
          <w:b/>
          <w:i w:val="0"/>
          <w:sz w:val="20"/>
        </w:rPr>
        <w:t>Retention:</w:t>
      </w:r>
      <w:r>
        <w:rPr>
          <w:b w:val="0"/>
          <w:i w:val="0"/>
          <w:sz w:val="20"/>
        </w:rPr>
        <w:t xml:space="preserve"> as permitted by law; recordings are deleted automatically when the period expires unless needed for a specific case.</w:t>
      </w:r>
    </w:p>
    <w:p>
      <w:pPr>
        <w:pStyle w:val="Heading3"/>
      </w:pPr>
      <w:r>
        <w:t>4.9 Lost property</w:t>
      </w:r>
    </w:p>
    <w:p>
      <w:pPr>
        <w:spacing w:after="120"/>
      </w:pPr>
      <w:r>
        <w:rPr>
          <w:b w:val="0"/>
          <w:i w:val="0"/>
          <w:sz w:val="20"/>
        </w:rPr>
        <w:t>Where we find an item and can identify its owner, we process the name and contact details needed to return it.</w:t>
      </w:r>
    </w:p>
    <w:p>
      <w:pPr>
        <w:spacing w:after="120"/>
      </w:pPr>
      <w:r>
        <w:rPr>
          <w:b/>
          <w:i w:val="0"/>
          <w:sz w:val="20"/>
        </w:rPr>
        <w:t>Legal basis:</w:t>
      </w:r>
      <w:r>
        <w:rPr>
          <w:b w:val="0"/>
          <w:i w:val="0"/>
          <w:sz w:val="20"/>
        </w:rPr>
        <w:t xml:space="preserve"> legitimate interest, Article 6(1)(f).</w:t>
      </w:r>
    </w:p>
    <w:p>
      <w:pPr>
        <w:pStyle w:val="Heading1"/>
      </w:pPr>
      <w:r>
        <w:t>05  Who else sees your data</w:t>
      </w:r>
    </w:p>
    <w:p>
      <w:pPr>
        <w:spacing w:after="120"/>
      </w:pPr>
      <w:r>
        <w:rPr>
          <w:b w:val="0"/>
          <w:i w:val="0"/>
          <w:sz w:val="20"/>
        </w:rPr>
        <w:t>We use the following processors. They act only on our instructions and may not use the data for their own purposes.</w:t>
      </w:r>
    </w:p>
    <w:tbl>
      <w:tblPr>
        <w:tblStyle w:val="TableGrid"/>
        <w:tblW w:type="auto" w:w="0"/>
        <w:jc w:val="left"/>
        <w:tblLayout w:type="fixed"/>
        <w:tblLook w:firstColumn="1" w:firstRow="1" w:lastColumn="0" w:lastRow="0" w:noHBand="0" w:noVBand="1" w:val="04A0"/>
      </w:tblPr>
      <w:tblGrid>
        <w:gridCol w:w="3402"/>
        <w:gridCol w:w="6009"/>
      </w:tblGrid>
      <w:tr>
        <w:tc>
          <w:tcPr>
            <w:tcW w:type="dxa" w:w="3402"/>
            <w:shd w:val="clear" w:color="auto" w:fill="123524"/>
          </w:tcPr>
          <w:p>
            <w:pPr>
              <w:spacing w:before="40" w:after="40"/>
            </w:pPr>
            <w:r>
              <w:rPr>
                <w:b/>
                <w:color w:val="FFFFFF"/>
                <w:sz w:val="17"/>
              </w:rPr>
              <w:t>Processor</w:t>
            </w:r>
          </w:p>
        </w:tc>
        <w:tc>
          <w:tcPr>
            <w:tcW w:type="dxa" w:w="6009"/>
            <w:shd w:val="clear" w:color="auto" w:fill="123524"/>
          </w:tcPr>
          <w:p>
            <w:pPr>
              <w:spacing w:before="40" w:after="40"/>
            </w:pPr>
            <w:r>
              <w:rPr>
                <w:b/>
                <w:color w:val="FFFFFF"/>
                <w:sz w:val="17"/>
              </w:rPr>
              <w:t>Role</w:t>
            </w:r>
          </w:p>
        </w:tc>
      </w:tr>
      <w:tr>
        <w:trPr>
          <w:cantSplit/>
        </w:trPr>
        <w:tc>
          <w:tcPr>
            <w:tcW w:type="dxa" w:w="3402"/>
          </w:tcPr>
          <w:p>
            <w:pPr>
              <w:spacing w:before="40" w:after="40"/>
            </w:pPr>
            <w:r>
              <w:rPr>
                <w:b/>
                <w:i w:val="0"/>
                <w:sz w:val="17"/>
              </w:rPr>
              <w:t>thePass Kft.</w:t>
            </w:r>
            <w:r>
              <w:rPr>
                <w:sz w:val="17"/>
              </w:rPr>
              <w:br/>
            </w:r>
            <w:r>
              <w:rPr>
                <w:b w:val="0"/>
                <w:i w:val="0"/>
                <w:sz w:val="17"/>
              </w:rPr>
              <w:t>1053 Budapest, Reáltanoda utca 5. 4th floor</w:t>
            </w:r>
            <w:r>
              <w:rPr>
                <w:sz w:val="17"/>
              </w:rPr>
              <w:br/>
            </w:r>
            <w:r>
              <w:rPr>
                <w:b w:val="0"/>
                <w:i w:val="0"/>
                <w:sz w:val="17"/>
              </w:rPr>
              <w:t>sabeeapp.com</w:t>
            </w:r>
          </w:p>
        </w:tc>
        <w:tc>
          <w:tcPr>
            <w:tcW w:type="dxa" w:w="6009"/>
          </w:tcPr>
          <w:p>
            <w:pPr>
              <w:spacing w:before="40" w:after="40"/>
            </w:pPr>
            <w:r>
              <w:rPr>
                <w:b w:val="0"/>
                <w:i w:val="0"/>
                <w:sz w:val="17"/>
              </w:rPr>
              <w:t>SabeeApp — reservation storage, booking management and invoicing</w:t>
            </w:r>
          </w:p>
        </w:tc>
      </w:tr>
      <w:tr>
        <w:trPr>
          <w:cantSplit/>
        </w:trPr>
        <w:tc>
          <w:tcPr>
            <w:tcW w:type="dxa" w:w="3402"/>
          </w:tcPr>
          <w:p>
            <w:pPr>
              <w:spacing w:before="40" w:after="40"/>
            </w:pPr>
            <w:r>
              <w:rPr>
                <w:b/>
                <w:i w:val="0"/>
                <w:sz w:val="17"/>
              </w:rPr>
              <w:t>Netlify, Inc.</w:t>
            </w:r>
            <w:r>
              <w:rPr>
                <w:sz w:val="17"/>
              </w:rPr>
              <w:br/>
            </w:r>
            <w:r>
              <w:rPr>
                <w:b w:val="0"/>
                <w:i w:val="0"/>
                <w:sz w:val="17"/>
              </w:rPr>
              <w:t>512 2nd Street, San Francisco, CA 94107, USA</w:t>
            </w:r>
            <w:r>
              <w:rPr>
                <w:sz w:val="17"/>
              </w:rPr>
              <w:br/>
            </w:r>
            <w:r>
              <w:rPr>
                <w:b w:val="0"/>
                <w:i w:val="0"/>
                <w:sz w:val="17"/>
              </w:rPr>
              <w:t>netlify.com</w:t>
            </w:r>
          </w:p>
        </w:tc>
        <w:tc>
          <w:tcPr>
            <w:tcW w:type="dxa" w:w="6009"/>
          </w:tcPr>
          <w:p>
            <w:pPr>
              <w:spacing w:before="40" w:after="40"/>
            </w:pPr>
            <w:r>
              <w:rPr>
                <w:b w:val="0"/>
                <w:i w:val="0"/>
                <w:sz w:val="17"/>
              </w:rPr>
              <w:t>Website hosting, and receipt of messages sent through the contact form</w:t>
            </w:r>
          </w:p>
        </w:tc>
      </w:tr>
      <w:tr>
        <w:trPr>
          <w:cantSplit/>
        </w:trPr>
        <w:tc>
          <w:tcPr>
            <w:tcW w:type="dxa" w:w="3402"/>
          </w:tcPr>
          <w:p>
            <w:pPr>
              <w:spacing w:before="40" w:after="40"/>
            </w:pPr>
            <w:r>
              <w:rPr>
                <w:b/>
                <w:i w:val="0"/>
                <w:sz w:val="17"/>
              </w:rPr>
              <w:t>Accounting service provider</w:t>
            </w:r>
            <w:r>
              <w:rPr>
                <w:sz w:val="17"/>
              </w:rPr>
              <w:br/>
            </w:r>
            <w:r>
              <w:rPr>
                <w:b/>
                <w:i w:val="0"/>
                <w:color w:val="9B2C2C"/>
                <w:sz w:val="17"/>
                <w:highlight w:val="yellow"/>
              </w:rPr>
              <w:t>[ TO BE SUPPLIED ]</w:t>
            </w:r>
          </w:p>
        </w:tc>
        <w:tc>
          <w:tcPr>
            <w:tcW w:type="dxa" w:w="6009"/>
          </w:tcPr>
          <w:p>
            <w:pPr>
              <w:spacing w:before="40" w:after="40"/>
            </w:pPr>
            <w:r>
              <w:rPr>
                <w:b w:val="0"/>
                <w:i w:val="0"/>
                <w:sz w:val="17"/>
              </w:rPr>
              <w:t>Bookkeeping and invoicing support</w:t>
            </w:r>
          </w:p>
        </w:tc>
      </w:tr>
      <w:tr>
        <w:trPr>
          <w:cantSplit/>
        </w:trPr>
        <w:tc>
          <w:tcPr>
            <w:tcW w:type="dxa" w:w="3402"/>
          </w:tcPr>
          <w:p>
            <w:pPr>
              <w:spacing w:before="40" w:after="40"/>
            </w:pPr>
            <w:r>
              <w:rPr>
                <w:b w:val="0"/>
                <w:i w:val="0"/>
                <w:sz w:val="17"/>
              </w:rPr>
              <w:t>Travel agencies and accommodation platforms</w:t>
            </w:r>
          </w:p>
        </w:tc>
        <w:tc>
          <w:tcPr>
            <w:tcW w:type="dxa" w:w="6009"/>
          </w:tcPr>
          <w:p>
            <w:pPr>
              <w:spacing w:before="40" w:after="40"/>
            </w:pPr>
            <w:r>
              <w:rPr>
                <w:b w:val="0"/>
                <w:i w:val="0"/>
                <w:sz w:val="17"/>
              </w:rPr>
              <w:t>Where you booked through them, they transmit your reservation data to us and may receive confirmation of the stay</w:t>
            </w:r>
          </w:p>
        </w:tc>
      </w:tr>
    </w:tbl>
    <w:p>
      <w:pPr>
        <w:spacing w:after="60"/>
      </w:pPr>
    </w:p>
    <w:p>
      <w:pPr>
        <w:spacing w:after="120"/>
      </w:pPr>
      <w:r>
        <w:rPr>
          <w:b w:val="0"/>
          <w:i w:val="0"/>
          <w:sz w:val="20"/>
        </w:rPr>
        <w:t>We are required by law to transmit guest data to the following bodies:</w:t>
      </w:r>
    </w:p>
    <w:tbl>
      <w:tblPr>
        <w:tblStyle w:val="TableGrid"/>
        <w:tblW w:type="auto" w:w="0"/>
        <w:jc w:val="left"/>
        <w:tblLayout w:type="fixed"/>
        <w:tblLook w:firstColumn="1" w:firstRow="1" w:lastColumn="0" w:lastRow="0" w:noHBand="0" w:noVBand="1" w:val="04A0"/>
      </w:tblPr>
      <w:tblGrid>
        <w:gridCol w:w="3402"/>
        <w:gridCol w:w="6009"/>
      </w:tblGrid>
      <w:tr>
        <w:tc>
          <w:tcPr>
            <w:tcW w:type="dxa" w:w="3402"/>
            <w:shd w:val="clear" w:color="auto" w:fill="123524"/>
          </w:tcPr>
          <w:p>
            <w:pPr>
              <w:spacing w:before="40" w:after="40"/>
            </w:pPr>
            <w:r>
              <w:rPr>
                <w:b/>
                <w:color w:val="FFFFFF"/>
                <w:sz w:val="17"/>
              </w:rPr>
              <w:t>Recipient</w:t>
            </w:r>
          </w:p>
        </w:tc>
        <w:tc>
          <w:tcPr>
            <w:tcW w:type="dxa" w:w="6009"/>
            <w:shd w:val="clear" w:color="auto" w:fill="123524"/>
          </w:tcPr>
          <w:p>
            <w:pPr>
              <w:spacing w:before="40" w:after="40"/>
            </w:pPr>
            <w:r>
              <w:rPr>
                <w:b/>
                <w:color w:val="FFFFFF"/>
                <w:sz w:val="17"/>
              </w:rPr>
              <w:t>Purpose</w:t>
            </w:r>
          </w:p>
        </w:tc>
      </w:tr>
      <w:tr>
        <w:trPr>
          <w:cantSplit/>
        </w:trPr>
        <w:tc>
          <w:tcPr>
            <w:tcW w:type="dxa" w:w="3402"/>
          </w:tcPr>
          <w:p>
            <w:pPr>
              <w:spacing w:before="40" w:after="40"/>
            </w:pPr>
            <w:r>
              <w:rPr>
                <w:b/>
                <w:i w:val="0"/>
                <w:sz w:val="17"/>
              </w:rPr>
              <w:t>VIZA</w:t>
            </w:r>
            <w:r>
              <w:rPr>
                <w:b w:val="0"/>
                <w:i w:val="0"/>
                <w:sz w:val="17"/>
              </w:rPr>
              <w:t xml:space="preserve"> — Guest Information Closed Database</w:t>
            </w:r>
            <w:r>
              <w:rPr>
                <w:sz w:val="17"/>
              </w:rPr>
              <w:br/>
            </w:r>
            <w:r>
              <w:rPr>
                <w:b w:val="0"/>
                <w:i w:val="0"/>
                <w:sz w:val="17"/>
              </w:rPr>
              <w:t>Hungarian Tourism Agency Ltd., 1027 Budapest, Kacsa u. 15–23</w:t>
            </w:r>
          </w:p>
        </w:tc>
        <w:tc>
          <w:tcPr>
            <w:tcW w:type="dxa" w:w="6009"/>
          </w:tcPr>
          <w:p>
            <w:pPr>
              <w:spacing w:before="40" w:after="40"/>
            </w:pPr>
            <w:r>
              <w:rPr>
                <w:b w:val="0"/>
                <w:i w:val="0"/>
                <w:sz w:val="17"/>
              </w:rPr>
              <w:t>Statutory recording of guest identity data at check-in</w:t>
            </w:r>
          </w:p>
        </w:tc>
      </w:tr>
      <w:tr>
        <w:trPr>
          <w:cantSplit/>
        </w:trPr>
        <w:tc>
          <w:tcPr>
            <w:tcW w:type="dxa" w:w="3402"/>
          </w:tcPr>
          <w:p>
            <w:pPr>
              <w:spacing w:before="40" w:after="40"/>
            </w:pPr>
            <w:r>
              <w:rPr>
                <w:b/>
                <w:i w:val="0"/>
                <w:sz w:val="17"/>
              </w:rPr>
              <w:t>NTAK</w:t>
            </w:r>
            <w:r>
              <w:rPr>
                <w:b w:val="0"/>
                <w:i w:val="0"/>
                <w:sz w:val="17"/>
              </w:rPr>
              <w:t xml:space="preserve"> — National Tourism Data Supply Centre</w:t>
            </w:r>
            <w:r>
              <w:rPr>
                <w:sz w:val="17"/>
              </w:rPr>
              <w:br/>
            </w:r>
            <w:r>
              <w:rPr>
                <w:b w:val="0"/>
                <w:i w:val="0"/>
                <w:sz w:val="17"/>
              </w:rPr>
              <w:t>Hungarian Tourism Agency Ltd., 1027 Budapest, Kacsa u. 15–23</w:t>
            </w:r>
          </w:p>
        </w:tc>
        <w:tc>
          <w:tcPr>
            <w:tcW w:type="dxa" w:w="6009"/>
          </w:tcPr>
          <w:p>
            <w:pPr>
              <w:spacing w:before="40" w:after="40"/>
            </w:pPr>
            <w:r>
              <w:rPr>
                <w:b w:val="0"/>
                <w:i w:val="0"/>
                <w:sz w:val="17"/>
              </w:rPr>
              <w:t>Statutory tourism statistics reported from the accommodation software</w:t>
            </w:r>
          </w:p>
        </w:tc>
      </w:tr>
      <w:tr>
        <w:trPr>
          <w:cantSplit/>
        </w:trPr>
        <w:tc>
          <w:tcPr>
            <w:tcW w:type="dxa" w:w="3402"/>
          </w:tcPr>
          <w:p>
            <w:pPr>
              <w:spacing w:before="40" w:after="40"/>
            </w:pPr>
            <w:r>
              <w:rPr>
                <w:b w:val="0"/>
                <w:i w:val="0"/>
                <w:sz w:val="17"/>
              </w:rPr>
              <w:t>Competent authorities — tax authority, local government, police, prosecution service, courts</w:t>
            </w:r>
          </w:p>
        </w:tc>
        <w:tc>
          <w:tcPr>
            <w:tcW w:type="dxa" w:w="6009"/>
          </w:tcPr>
          <w:p>
            <w:pPr>
              <w:spacing w:before="40" w:after="40"/>
            </w:pPr>
            <w:r>
              <w:rPr>
                <w:b w:val="0"/>
                <w:i w:val="0"/>
                <w:sz w:val="17"/>
              </w:rPr>
              <w:t>Only where a law requires disclosure, or in response to a lawful request in a specific procedure. We record every such transfer.</w:t>
            </w:r>
          </w:p>
        </w:tc>
      </w:tr>
    </w:tbl>
    <w:p>
      <w:pPr>
        <w:spacing w:after="60"/>
      </w:pPr>
    </w:p>
    <w:p>
      <w:pPr>
        <w:pStyle w:val="Heading1"/>
      </w:pPr>
      <w:r>
        <w:t>06  Transfers outside the EEA</w:t>
      </w:r>
    </w:p>
    <w:p>
      <w:pPr>
        <w:spacing w:after="120"/>
      </w:pPr>
      <w:r>
        <w:rPr>
          <w:b w:val="0"/>
          <w:i w:val="0"/>
          <w:sz w:val="20"/>
        </w:rPr>
        <w:t>We do not transfer your personal data outside the European Economic Area for our own purposes.</w:t>
      </w:r>
    </w:p>
    <w:p>
      <w:pPr>
        <w:spacing w:after="120"/>
      </w:pPr>
      <w:r>
        <w:rPr>
          <w:b w:val="0"/>
          <w:i w:val="0"/>
          <w:sz w:val="20"/>
        </w:rPr>
        <w:t>Two technical exceptions are worth naming plainly. Our website is hosted by Netlify, a US company, which processes data under the EU–US Data Privacy Framework and standard contractual clauses. Typefaces are loaded from Google Fonts, and the neighbourhood map from CARTO and unpkg; in each case your browser makes a direct request to those services, which will see your IP address. No booking, guest or contact data is sent to them.</w:t>
      </w:r>
    </w:p>
    <w:p>
      <w:pPr>
        <w:pStyle w:val="Heading1"/>
      </w:pPr>
      <w:r>
        <w:t>07  Cookies and the website</w:t>
      </w:r>
    </w:p>
    <w:p>
      <w:pPr>
        <w:spacing w:after="120"/>
      </w:pPr>
      <w:r>
        <w:rPr>
          <w:b/>
          <w:i w:val="0"/>
          <w:sz w:val="20"/>
        </w:rPr>
        <w:t>This site runs no analytics and no advertising.</w:t>
      </w:r>
      <w:r>
        <w:rPr>
          <w:b w:val="0"/>
          <w:i w:val="0"/>
          <w:sz w:val="20"/>
        </w:rPr>
        <w:t xml:space="preserve"> There is no Google Analytics, no Facebook pixel, no remarketing tag and no third-party tracking cookie anywhere on it. We do not build profiles, and no automated decision-making takes place.</w:t>
      </w:r>
    </w:p>
    <w:p>
      <w:pPr>
        <w:spacing w:after="120"/>
      </w:pPr>
      <w:r>
        <w:rPr>
          <w:b w:val="0"/>
          <w:i w:val="0"/>
          <w:sz w:val="20"/>
        </w:rPr>
        <w:t>The site stores exactly two values in your browser, both strictly functional:</w:t>
      </w:r>
    </w:p>
    <w:tbl>
      <w:tblPr>
        <w:tblStyle w:val="TableGrid"/>
        <w:tblW w:type="auto" w:w="0"/>
        <w:jc w:val="left"/>
        <w:tblLayout w:type="fixed"/>
        <w:tblLook w:firstColumn="1" w:firstRow="1" w:lastColumn="0" w:lastRow="0" w:noHBand="0" w:noVBand="1" w:val="04A0"/>
      </w:tblPr>
      <w:tblGrid>
        <w:gridCol w:w="2494"/>
        <w:gridCol w:w="2041"/>
        <w:gridCol w:w="4876"/>
      </w:tblGrid>
      <w:tr>
        <w:tc>
          <w:tcPr>
            <w:tcW w:type="dxa" w:w="2494"/>
            <w:shd w:val="clear" w:color="auto" w:fill="123524"/>
          </w:tcPr>
          <w:p>
            <w:pPr>
              <w:spacing w:before="40" w:after="40"/>
            </w:pPr>
            <w:r>
              <w:rPr>
                <w:b/>
                <w:color w:val="FFFFFF"/>
                <w:sz w:val="17"/>
              </w:rPr>
              <w:t>What</w:t>
            </w:r>
          </w:p>
        </w:tc>
        <w:tc>
          <w:tcPr>
            <w:tcW w:type="dxa" w:w="2041"/>
            <w:shd w:val="clear" w:color="auto" w:fill="123524"/>
          </w:tcPr>
          <w:p>
            <w:pPr>
              <w:spacing w:before="40" w:after="40"/>
            </w:pPr>
            <w:r>
              <w:rPr>
                <w:b/>
                <w:color w:val="FFFFFF"/>
                <w:sz w:val="17"/>
              </w:rPr>
              <w:t>Where</w:t>
            </w:r>
          </w:p>
        </w:tc>
        <w:tc>
          <w:tcPr>
            <w:tcW w:type="dxa" w:w="4876"/>
            <w:shd w:val="clear" w:color="auto" w:fill="123524"/>
          </w:tcPr>
          <w:p>
            <w:pPr>
              <w:spacing w:before="40" w:after="40"/>
            </w:pPr>
            <w:r>
              <w:rPr>
                <w:b/>
                <w:color w:val="FFFFFF"/>
                <w:sz w:val="17"/>
              </w:rPr>
              <w:t>Why</w:t>
            </w:r>
          </w:p>
        </w:tc>
      </w:tr>
      <w:tr>
        <w:trPr>
          <w:cantSplit/>
        </w:trPr>
        <w:tc>
          <w:tcPr>
            <w:tcW w:type="dxa" w:w="2494"/>
          </w:tcPr>
          <w:p>
            <w:pPr>
              <w:spacing w:before="40" w:after="40"/>
            </w:pPr>
            <w:r>
              <w:rPr>
                <w:b w:val="0"/>
                <w:i w:val="0"/>
                <w:sz w:val="17"/>
              </w:rPr>
              <w:t>storiesWelcomed</w:t>
            </w:r>
          </w:p>
        </w:tc>
        <w:tc>
          <w:tcPr>
            <w:tcW w:type="dxa" w:w="2041"/>
          </w:tcPr>
          <w:p>
            <w:pPr>
              <w:spacing w:before="40" w:after="40"/>
            </w:pPr>
            <w:r>
              <w:rPr>
                <w:b w:val="0"/>
                <w:i w:val="0"/>
                <w:sz w:val="17"/>
              </w:rPr>
              <w:t>localStorage</w:t>
            </w:r>
          </w:p>
        </w:tc>
        <w:tc>
          <w:tcPr>
            <w:tcW w:type="dxa" w:w="4876"/>
          </w:tcPr>
          <w:p>
            <w:pPr>
              <w:spacing w:before="40" w:after="40"/>
            </w:pPr>
            <w:r>
              <w:rPr>
                <w:b w:val="0"/>
                <w:i w:val="0"/>
                <w:sz w:val="17"/>
              </w:rPr>
              <w:t>Remembers that you have seen the opening animation, so returning visitors skip it. Holds no personal data.</w:t>
            </w:r>
          </w:p>
        </w:tc>
      </w:tr>
      <w:tr>
        <w:trPr>
          <w:cantSplit/>
        </w:trPr>
        <w:tc>
          <w:tcPr>
            <w:tcW w:type="dxa" w:w="2494"/>
          </w:tcPr>
          <w:p>
            <w:pPr>
              <w:spacing w:before="40" w:after="40"/>
            </w:pPr>
            <w:r>
              <w:rPr>
                <w:b w:val="0"/>
                <w:i w:val="0"/>
                <w:sz w:val="17"/>
              </w:rPr>
              <w:t>pt</w:t>
            </w:r>
          </w:p>
        </w:tc>
        <w:tc>
          <w:tcPr>
            <w:tcW w:type="dxa" w:w="2041"/>
          </w:tcPr>
          <w:p>
            <w:pPr>
              <w:spacing w:before="40" w:after="40"/>
            </w:pPr>
            <w:r>
              <w:rPr>
                <w:b w:val="0"/>
                <w:i w:val="0"/>
                <w:sz w:val="17"/>
              </w:rPr>
              <w:t>sessionStorage</w:t>
            </w:r>
          </w:p>
        </w:tc>
        <w:tc>
          <w:tcPr>
            <w:tcW w:type="dxa" w:w="4876"/>
          </w:tcPr>
          <w:p>
            <w:pPr>
              <w:spacing w:before="40" w:after="40"/>
            </w:pPr>
            <w:r>
              <w:rPr>
                <w:b w:val="0"/>
                <w:i w:val="0"/>
                <w:sz w:val="17"/>
              </w:rPr>
              <w:t>Carries the page-transition state from one page to the next during a single visit. Cleared when you close the tab.</w:t>
            </w:r>
          </w:p>
        </w:tc>
      </w:tr>
    </w:tbl>
    <w:p>
      <w:pPr>
        <w:spacing w:after="60"/>
      </w:pPr>
    </w:p>
    <w:p>
      <w:pPr>
        <w:spacing w:after="120"/>
      </w:pPr>
      <w:r>
        <w:rPr>
          <w:b w:val="0"/>
          <w:i w:val="0"/>
          <w:sz w:val="20"/>
        </w:rPr>
        <w:t>Because neither is used for tracking, advertising or profiling, they fall outside the consent requirement and no cookie banner is shown.</w:t>
      </w:r>
    </w:p>
    <w:p>
      <w:pPr>
        <w:spacing w:after="120"/>
      </w:pPr>
      <w:r>
        <w:rPr>
          <w:b w:val="0"/>
          <w:i w:val="0"/>
          <w:sz w:val="20"/>
        </w:rPr>
        <w:t>Your browser also contacts three external services while rendering the site: Google Fonts for typefaces, unpkg for the map library, and CARTO for map tiles on the neighbourhood page — the last two only if you scroll to the map. Those services receive your IP address as part of an ordinary web request, and their own privacy terms apply. You can block them in your browser; the site remains usable.</w:t>
      </w:r>
    </w:p>
    <w:p>
      <w:pPr>
        <w:spacing w:after="120"/>
      </w:pPr>
      <w:r>
        <w:rPr>
          <w:b w:val="0"/>
          <w:i w:val="0"/>
          <w:sz w:val="20"/>
        </w:rPr>
        <w:t>Opening the booking engine takes you to SabeeApp, and following a social or review link takes you to that platform. Those are separate services with their own cookies and privacy policies.</w:t>
      </w:r>
    </w:p>
    <w:p>
      <w:pPr>
        <w:pStyle w:val="Heading1"/>
      </w:pPr>
      <w:r>
        <w:t>08  Children</w:t>
      </w:r>
    </w:p>
    <w:p>
      <w:pPr>
        <w:spacing w:after="120"/>
      </w:pPr>
      <w:r>
        <w:rPr>
          <w:b w:val="0"/>
          <w:i w:val="0"/>
          <w:sz w:val="20"/>
        </w:rPr>
        <w:t>We do not knowingly process the personal data of anyone under 16 on the basis of their own consent. A person under 14 may only be represented by a parent or guardian; between 14 and 18, a legal representative's consent is required. Where a child stays with us, the data required by law is recorded on the basis of the accompanying adult's statement.</w:t>
      </w:r>
    </w:p>
    <w:p>
      <w:pPr>
        <w:pStyle w:val="Heading1"/>
      </w:pPr>
      <w:r>
        <w:t>09  Security</w:t>
      </w:r>
    </w:p>
    <w:p>
      <w:pPr>
        <w:spacing w:after="120"/>
      </w:pPr>
      <w:r>
        <w:rPr>
          <w:b w:val="0"/>
          <w:i w:val="0"/>
          <w:sz w:val="20"/>
        </w:rPr>
        <w:t>We apply technical and organisational measures appropriate to the risk: encrypted transmission, access limited to staff who need it, and training for those who handle guest data. Our website is served over HTTPS. No system is perfectly secure, but we take the protection of your data seriously and review our measures.</w:t>
      </w:r>
    </w:p>
    <w:p>
      <w:pPr>
        <w:pStyle w:val="Heading1"/>
      </w:pPr>
      <w:r>
        <w:t>10  Your rights</w:t>
      </w:r>
    </w:p>
    <w:p>
      <w:pPr>
        <w:spacing w:after="120"/>
      </w:pPr>
      <w:r>
        <w:rPr>
          <w:b w:val="0"/>
          <w:i w:val="0"/>
          <w:sz w:val="20"/>
        </w:rPr>
        <w:t>Under the GDPR you may ask us to:</w:t>
      </w:r>
    </w:p>
    <w:p>
      <w:pPr>
        <w:pStyle w:val="ListBullet"/>
        <w:spacing w:after="60"/>
      </w:pPr>
      <w:r>
        <w:rPr>
          <w:b w:val="0"/>
          <w:i w:val="0"/>
          <w:sz w:val="20"/>
        </w:rPr>
        <w:t xml:space="preserve">confirm whether we process data about you, and give you a copy — </w:t>
      </w:r>
      <w:r>
        <w:rPr>
          <w:b/>
          <w:i w:val="0"/>
          <w:sz w:val="20"/>
        </w:rPr>
        <w:t>right of access</w:t>
      </w:r>
      <w:r>
        <w:rPr>
          <w:b w:val="0"/>
          <w:i w:val="0"/>
          <w:sz w:val="20"/>
        </w:rPr>
        <w:t xml:space="preserve"> (Article 15)</w:t>
      </w:r>
    </w:p>
    <w:p>
      <w:pPr>
        <w:pStyle w:val="ListBullet"/>
        <w:spacing w:after="60"/>
      </w:pPr>
      <w:r>
        <w:rPr>
          <w:b w:val="0"/>
          <w:i w:val="0"/>
          <w:sz w:val="20"/>
        </w:rPr>
        <w:t xml:space="preserve">correct data that is inaccurate or incomplete — </w:t>
      </w:r>
      <w:r>
        <w:rPr>
          <w:b/>
          <w:i w:val="0"/>
          <w:sz w:val="20"/>
        </w:rPr>
        <w:t>rectification</w:t>
      </w:r>
      <w:r>
        <w:rPr>
          <w:b w:val="0"/>
          <w:i w:val="0"/>
          <w:sz w:val="20"/>
        </w:rPr>
        <w:t xml:space="preserve"> (Article 16)</w:t>
      </w:r>
    </w:p>
    <w:p>
      <w:pPr>
        <w:pStyle w:val="ListBullet"/>
        <w:spacing w:after="60"/>
      </w:pPr>
      <w:r>
        <w:rPr>
          <w:b w:val="0"/>
          <w:i w:val="0"/>
          <w:sz w:val="20"/>
        </w:rPr>
        <w:t xml:space="preserve">delete your data where there is no longer a lawful reason to keep it — </w:t>
      </w:r>
      <w:r>
        <w:rPr>
          <w:b/>
          <w:i w:val="0"/>
          <w:sz w:val="20"/>
        </w:rPr>
        <w:t>erasure</w:t>
      </w:r>
      <w:r>
        <w:rPr>
          <w:b w:val="0"/>
          <w:i w:val="0"/>
          <w:sz w:val="20"/>
        </w:rPr>
        <w:t xml:space="preserve"> (Article 17). This cannot override a statutory retention duty, such as accounting or VIZA records</w:t>
      </w:r>
    </w:p>
    <w:p>
      <w:pPr>
        <w:pStyle w:val="ListBullet"/>
        <w:spacing w:after="60"/>
      </w:pPr>
      <w:r>
        <w:rPr>
          <w:b w:val="0"/>
          <w:i w:val="0"/>
          <w:sz w:val="20"/>
        </w:rPr>
        <w:t xml:space="preserve">limit what we do with your data while a question about it is resolved — </w:t>
      </w:r>
      <w:r>
        <w:rPr>
          <w:b/>
          <w:i w:val="0"/>
          <w:sz w:val="20"/>
        </w:rPr>
        <w:t>restriction</w:t>
      </w:r>
      <w:r>
        <w:rPr>
          <w:b w:val="0"/>
          <w:i w:val="0"/>
          <w:sz w:val="20"/>
        </w:rPr>
        <w:t xml:space="preserve"> (Article 18)</w:t>
      </w:r>
    </w:p>
    <w:p>
      <w:pPr>
        <w:pStyle w:val="ListBullet"/>
        <w:spacing w:after="60"/>
      </w:pPr>
      <w:r>
        <w:rPr>
          <w:b w:val="0"/>
          <w:i w:val="0"/>
          <w:sz w:val="20"/>
        </w:rPr>
        <w:t xml:space="preserve">provide your data in a portable, machine-readable form — </w:t>
      </w:r>
      <w:r>
        <w:rPr>
          <w:b/>
          <w:i w:val="0"/>
          <w:sz w:val="20"/>
        </w:rPr>
        <w:t>portability</w:t>
      </w:r>
      <w:r>
        <w:rPr>
          <w:b w:val="0"/>
          <w:i w:val="0"/>
          <w:sz w:val="20"/>
        </w:rPr>
        <w:t xml:space="preserve"> (Article 20)</w:t>
      </w:r>
    </w:p>
    <w:p>
      <w:pPr>
        <w:pStyle w:val="ListBullet"/>
        <w:spacing w:after="60"/>
      </w:pPr>
      <w:r>
        <w:rPr>
          <w:b w:val="0"/>
          <w:i w:val="0"/>
          <w:sz w:val="20"/>
        </w:rPr>
        <w:t xml:space="preserve">stop processing based on our legitimate interest — </w:t>
      </w:r>
      <w:r>
        <w:rPr>
          <w:b/>
          <w:i w:val="0"/>
          <w:sz w:val="20"/>
        </w:rPr>
        <w:t>objection</w:t>
      </w:r>
      <w:r>
        <w:rPr>
          <w:b w:val="0"/>
          <w:i w:val="0"/>
          <w:sz w:val="20"/>
        </w:rPr>
        <w:t xml:space="preserve"> (Article 21)</w:t>
      </w:r>
    </w:p>
    <w:p>
      <w:pPr>
        <w:pStyle w:val="ListBullet"/>
        <w:spacing w:after="60"/>
      </w:pPr>
      <w:r>
        <w:rPr>
          <w:b w:val="0"/>
          <w:i w:val="0"/>
          <w:sz w:val="20"/>
        </w:rPr>
        <w:t>withdraw a consent you have given, at any time, without affecting the lawfulness of what came before (Article 7)</w:t>
      </w:r>
    </w:p>
    <w:p>
      <w:pPr>
        <w:spacing w:after="120"/>
      </w:pPr>
      <w:r>
        <w:rPr>
          <w:b w:val="0"/>
          <w:i w:val="0"/>
          <w:sz w:val="20"/>
        </w:rPr>
        <w:t xml:space="preserve">Write to </w:t>
      </w:r>
      <w:r>
        <w:rPr>
          <w:b w:val="0"/>
          <w:i w:val="0"/>
          <w:sz w:val="20"/>
        </w:rPr>
        <w:t>info@storiesbudapest.com</w:t>
      </w:r>
      <w:r>
        <w:rPr>
          <w:b w:val="0"/>
          <w:i w:val="0"/>
          <w:sz w:val="20"/>
        </w:rPr>
        <w:t xml:space="preserve"> or to Király utca 26, 1061 Budapest. We answer within one month; if a request is complex we may extend that by two further months and will tell you why.</w:t>
      </w:r>
    </w:p>
    <w:p>
      <w:pPr>
        <w:pStyle w:val="Heading1"/>
      </w:pPr>
      <w:r>
        <w:t>11  Complaints</w:t>
      </w:r>
    </w:p>
    <w:p>
      <w:pPr>
        <w:spacing w:after="120"/>
      </w:pPr>
      <w:r>
        <w:rPr>
          <w:b w:val="0"/>
          <w:i w:val="0"/>
          <w:sz w:val="20"/>
        </w:rPr>
        <w:t>If something is wrong, tell us first — it is usually the fastest route. We respond to written complaints within 30 days and keep a record for five years.</w:t>
      </w:r>
    </w:p>
    <w:p>
      <w:pPr>
        <w:spacing w:after="120"/>
      </w:pPr>
      <w:r>
        <w:rPr>
          <w:b w:val="0"/>
          <w:i w:val="0"/>
          <w:sz w:val="20"/>
        </w:rPr>
        <w:t>You also have the right to complain to the Hungarian supervisory authority, or to bring proceedings before the competent court:</w:t>
      </w:r>
    </w:p>
    <w:tbl>
      <w:tblPr>
        <w:tblStyle w:val="TableGrid"/>
        <w:tblW w:type="auto" w:w="0"/>
        <w:tblLayout w:type="fixed"/>
        <w:tblLook w:firstColumn="1" w:firstRow="1" w:lastColumn="0" w:lastRow="0" w:noHBand="0" w:noVBand="1" w:val="04A0"/>
      </w:tblPr>
      <w:tblGrid>
        <w:gridCol w:w="3061"/>
        <w:gridCol w:w="6350"/>
      </w:tblGrid>
      <w:tr>
        <w:trPr>
          <w:cantSplit/>
        </w:trPr>
        <w:tc>
          <w:tcPr>
            <w:tcW w:type="dxa" w:w="3061"/>
            <w:shd w:val="clear" w:color="auto" w:fill="F1EDE3"/>
          </w:tcPr>
          <w:p>
            <w:pPr>
              <w:spacing w:before="60" w:after="60"/>
            </w:pPr>
            <w:r>
              <w:rPr>
                <w:color w:val="5A5A4E"/>
                <w:sz w:val="17"/>
              </w:rPr>
              <w:t>Supervisory authority</w:t>
            </w:r>
          </w:p>
        </w:tc>
        <w:tc>
          <w:tcPr>
            <w:tcW w:type="dxa" w:w="6350"/>
          </w:tcPr>
          <w:p>
            <w:pPr>
              <w:spacing w:before="60" w:after="60"/>
            </w:pPr>
            <w:r>
              <w:rPr>
                <w:sz w:val="19"/>
              </w:rPr>
              <w:t>Nemzeti Adatvédelmi és Információszabadság Hatóság (NAIH)</w:t>
            </w:r>
          </w:p>
        </w:tc>
      </w:tr>
      <w:tr>
        <w:trPr>
          <w:cantSplit/>
        </w:trPr>
        <w:tc>
          <w:tcPr>
            <w:tcW w:type="dxa" w:w="3061"/>
            <w:shd w:val="clear" w:color="auto" w:fill="F1EDE3"/>
          </w:tcPr>
          <w:p>
            <w:pPr>
              <w:spacing w:before="60" w:after="60"/>
            </w:pPr>
            <w:r>
              <w:rPr>
                <w:color w:val="5A5A4E"/>
                <w:sz w:val="17"/>
              </w:rPr>
              <w:t>Address</w:t>
            </w:r>
          </w:p>
        </w:tc>
        <w:tc>
          <w:tcPr>
            <w:tcW w:type="dxa" w:w="6350"/>
          </w:tcPr>
          <w:p>
            <w:pPr>
              <w:spacing w:before="60" w:after="60"/>
            </w:pPr>
            <w:r>
              <w:rPr>
                <w:sz w:val="19"/>
              </w:rPr>
              <w:t>1055 Budapest, Falk Miksa utca 9–11.</w:t>
            </w:r>
          </w:p>
        </w:tc>
      </w:tr>
      <w:tr>
        <w:trPr>
          <w:cantSplit/>
        </w:trPr>
        <w:tc>
          <w:tcPr>
            <w:tcW w:type="dxa" w:w="3061"/>
            <w:shd w:val="clear" w:color="auto" w:fill="F1EDE3"/>
          </w:tcPr>
          <w:p>
            <w:pPr>
              <w:spacing w:before="60" w:after="60"/>
            </w:pPr>
            <w:r>
              <w:rPr>
                <w:color w:val="5A5A4E"/>
                <w:sz w:val="17"/>
              </w:rPr>
              <w:t>Postal</w:t>
            </w:r>
          </w:p>
        </w:tc>
        <w:tc>
          <w:tcPr>
            <w:tcW w:type="dxa" w:w="6350"/>
          </w:tcPr>
          <w:p>
            <w:pPr>
              <w:spacing w:before="60" w:after="60"/>
            </w:pPr>
            <w:r>
              <w:rPr>
                <w:sz w:val="19"/>
              </w:rPr>
              <w:t>1363 Budapest, Pf. 9.</w:t>
            </w:r>
          </w:p>
        </w:tc>
      </w:tr>
      <w:tr>
        <w:trPr>
          <w:cantSplit/>
        </w:trPr>
        <w:tc>
          <w:tcPr>
            <w:tcW w:type="dxa" w:w="3061"/>
            <w:shd w:val="clear" w:color="auto" w:fill="F1EDE3"/>
          </w:tcPr>
          <w:p>
            <w:pPr>
              <w:spacing w:before="60" w:after="60"/>
            </w:pPr>
            <w:r>
              <w:rPr>
                <w:color w:val="5A5A4E"/>
                <w:sz w:val="17"/>
              </w:rPr>
              <w:t>Telephone</w:t>
            </w:r>
          </w:p>
        </w:tc>
        <w:tc>
          <w:tcPr>
            <w:tcW w:type="dxa" w:w="6350"/>
          </w:tcPr>
          <w:p>
            <w:pPr>
              <w:spacing w:before="60" w:after="60"/>
            </w:pPr>
            <w:r>
              <w:rPr>
                <w:sz w:val="19"/>
              </w:rPr>
              <w:t>+36 1 391 1400</w:t>
            </w:r>
          </w:p>
        </w:tc>
      </w:tr>
      <w:tr>
        <w:trPr>
          <w:cantSplit/>
        </w:trPr>
        <w:tc>
          <w:tcPr>
            <w:tcW w:type="dxa" w:w="3061"/>
            <w:shd w:val="clear" w:color="auto" w:fill="F1EDE3"/>
          </w:tcPr>
          <w:p>
            <w:pPr>
              <w:spacing w:before="60" w:after="60"/>
            </w:pPr>
            <w:r>
              <w:rPr>
                <w:color w:val="5A5A4E"/>
                <w:sz w:val="17"/>
              </w:rPr>
              <w:t>E-mail</w:t>
            </w:r>
          </w:p>
        </w:tc>
        <w:tc>
          <w:tcPr>
            <w:tcW w:type="dxa" w:w="6350"/>
          </w:tcPr>
          <w:p>
            <w:pPr>
              <w:spacing w:before="60" w:after="60"/>
            </w:pPr>
            <w:r>
              <w:rPr>
                <w:sz w:val="19"/>
              </w:rPr>
              <w:t>ugyfelszolgalat@naih.hu</w:t>
            </w:r>
          </w:p>
        </w:tc>
      </w:tr>
      <w:tr>
        <w:trPr>
          <w:cantSplit/>
        </w:trPr>
        <w:tc>
          <w:tcPr>
            <w:tcW w:type="dxa" w:w="3061"/>
            <w:shd w:val="clear" w:color="auto" w:fill="F1EDE3"/>
          </w:tcPr>
          <w:p>
            <w:pPr>
              <w:spacing w:before="60" w:after="60"/>
            </w:pPr>
            <w:r>
              <w:rPr>
                <w:color w:val="5A5A4E"/>
                <w:sz w:val="17"/>
              </w:rPr>
              <w:t>Website</w:t>
            </w:r>
          </w:p>
        </w:tc>
        <w:tc>
          <w:tcPr>
            <w:tcW w:type="dxa" w:w="6350"/>
          </w:tcPr>
          <w:p>
            <w:pPr>
              <w:spacing w:before="60" w:after="60"/>
            </w:pPr>
            <w:r>
              <w:rPr>
                <w:sz w:val="19"/>
              </w:rPr>
              <w:t>naih.hu</w:t>
            </w:r>
          </w:p>
        </w:tc>
      </w:tr>
    </w:tbl>
    <w:p>
      <w:pPr>
        <w:spacing w:after="60"/>
      </w:pPr>
    </w:p>
    <w:p>
      <w:pPr>
        <w:pStyle w:val="Heading1"/>
      </w:pPr>
      <w:r>
        <w:t>Approval</w:t>
      </w:r>
    </w:p>
    <w:p>
      <w:pPr>
        <w:spacing w:after="440"/>
      </w:pPr>
      <w:r>
        <w:rPr>
          <w:sz w:val="21"/>
        </w:rPr>
        <w:t>I confirm the content of this document, and that the company identifiers requested on the cover page have been supplied.</w:t>
      </w:r>
    </w:p>
    <w:tbl>
      <w:tblPr>
        <w:tblStyle w:val="TableGrid"/>
        <w:tblW w:type="auto" w:w="0"/>
        <w:tblLook w:firstColumn="1" w:firstRow="1" w:lastColumn="0" w:lastRow="0" w:noHBand="0" w:noVBand="1" w:val="04A0"/>
      </w:tblPr>
      <w:tblGrid>
        <w:gridCol w:w="4706"/>
        <w:gridCol w:w="4706"/>
      </w:tblGrid>
      <w:tr>
        <w:tc>
          <w:tcPr>
            <w:tcW w:type="dxa" w:w="4706"/>
          </w:tcPr>
          <w:p>
            <w:pPr>
              <w:spacing w:before="80" w:after="480"/>
            </w:pPr>
            <w:r>
              <w:rPr>
                <w:color w:val="5A5A4E"/>
                <w:sz w:val="17"/>
              </w:rPr>
              <w:t>Name and role</w:t>
            </w:r>
          </w:p>
        </w:tc>
        <w:tc>
          <w:tcPr>
            <w:tcW w:type="dxa" w:w="4706"/>
          </w:tcPr>
          <w:p>
            <w:pPr>
              <w:spacing w:before="80" w:after="480"/>
            </w:pPr>
            <w:r>
              <w:rPr>
                <w:color w:val="5A5A4E"/>
                <w:sz w:val="17"/>
              </w:rPr>
            </w:r>
          </w:p>
        </w:tc>
      </w:tr>
      <w:tr>
        <w:tc>
          <w:tcPr>
            <w:tcW w:type="dxa" w:w="4706"/>
          </w:tcPr>
          <w:p>
            <w:pPr>
              <w:spacing w:before="80" w:after="480"/>
            </w:pPr>
            <w:r>
              <w:rPr>
                <w:color w:val="5A5A4E"/>
                <w:sz w:val="17"/>
              </w:rPr>
              <w:t>Date</w:t>
            </w:r>
          </w:p>
        </w:tc>
        <w:tc>
          <w:tcPr>
            <w:tcW w:type="dxa" w:w="4706"/>
          </w:tcPr>
          <w:p>
            <w:pPr>
              <w:spacing w:before="80" w:after="480"/>
            </w:pPr>
            <w:r>
              <w:rPr>
                <w:color w:val="5A5A4E"/>
                <w:sz w:val="17"/>
              </w:rPr>
              <w:t>Signature</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0B14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Georgia" w:hAnsi="Georgia"/>
      <w:b w:val="0"/>
      <w:bCs/>
      <w:color w:val="123524"/>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Georgia" w:hAnsi="Georgia"/>
      <w:b w:val="0"/>
      <w:bCs/>
      <w:color w:val="0B1410"/>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b w:val="0"/>
      <w:bCs/>
      <w:color w:val="8A68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Georgia" w:hAnsi="Georgia"/>
      <w:b w:val="0"/>
      <w:color w:val="0B141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