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154B8" w14:textId="6413768E" w:rsidR="005E3A66" w:rsidRDefault="00765B6C" w:rsidP="007E243A">
      <w:pPr>
        <w:jc w:val="center"/>
        <w:rPr>
          <w:b/>
          <w:bCs/>
        </w:rPr>
      </w:pPr>
      <w:r w:rsidRPr="007E243A">
        <w:rPr>
          <w:b/>
          <w:bCs/>
        </w:rPr>
        <w:t>Princip</w:t>
      </w:r>
      <w:r w:rsidR="0071401B">
        <w:rPr>
          <w:b/>
          <w:bCs/>
        </w:rPr>
        <w:t>al</w:t>
      </w:r>
      <w:r w:rsidRPr="007E243A">
        <w:rPr>
          <w:b/>
          <w:bCs/>
        </w:rPr>
        <w:t xml:space="preserve"> Isoforms for Selected Genes</w:t>
      </w:r>
    </w:p>
    <w:p w14:paraId="59B818D3" w14:textId="379CC9D4" w:rsidR="00EF33DA" w:rsidRPr="00EF33DA" w:rsidRDefault="00EF33DA" w:rsidP="007E243A">
      <w:pPr>
        <w:jc w:val="center"/>
      </w:pPr>
      <w:r w:rsidRPr="00EF33DA">
        <w:t>(</w:t>
      </w:r>
      <w:proofErr w:type="gramStart"/>
      <w:r w:rsidRPr="00EF33DA">
        <w:t>ones</w:t>
      </w:r>
      <w:proofErr w:type="gramEnd"/>
      <w:r w:rsidRPr="00EF33DA">
        <w:t xml:space="preserve"> in </w:t>
      </w:r>
      <w:r w:rsidRPr="00EF33DA">
        <w:rPr>
          <w:color w:val="70AD47" w:themeColor="accent6"/>
        </w:rPr>
        <w:t xml:space="preserve">green </w:t>
      </w:r>
      <w:r w:rsidRPr="00EF33DA">
        <w:t>are completed)</w:t>
      </w:r>
    </w:p>
    <w:p w14:paraId="486A3F32" w14:textId="2F0740C6" w:rsidR="00765B6C" w:rsidRDefault="00765B6C"/>
    <w:p w14:paraId="0510A341" w14:textId="70140FD4" w:rsidR="00765B6C" w:rsidRDefault="00765B6C" w:rsidP="00765B6C">
      <w:r w:rsidRPr="00FD6EC6">
        <w:rPr>
          <w:color w:val="70AD47" w:themeColor="accent6"/>
        </w:rPr>
        <w:t>EEF1A2</w:t>
      </w:r>
      <w:r w:rsidRPr="00FD6EC6">
        <w:rPr>
          <w:color w:val="538135" w:themeColor="accent6" w:themeShade="BF"/>
        </w:rPr>
        <w:t xml:space="preserve"> </w:t>
      </w:r>
      <w:r>
        <w:t xml:space="preserve">- </w:t>
      </w:r>
      <w:r w:rsidRPr="0088058F">
        <w:rPr>
          <w:b/>
          <w:bCs/>
        </w:rPr>
        <w:t>ENST00000217182.6</w:t>
      </w:r>
      <w:r w:rsidR="00AA31EE">
        <w:rPr>
          <w:b/>
          <w:bCs/>
        </w:rPr>
        <w:t xml:space="preserve">; </w:t>
      </w:r>
      <w:r w:rsidR="00AA31EE" w:rsidRPr="00AA31EE">
        <w:t xml:space="preserve">corresponds to </w:t>
      </w:r>
      <w:r w:rsidR="00AA31EE" w:rsidRPr="00FD6EC6">
        <w:rPr>
          <w:b/>
          <w:bCs/>
        </w:rPr>
        <w:t>CCDS13522, NM_001958.5, NP_001949.1</w:t>
      </w:r>
      <w:r w:rsidR="00AA31EE" w:rsidRPr="00AA31EE">
        <w:t>.</w:t>
      </w:r>
      <w:r w:rsidR="00840189">
        <w:t xml:space="preserve"> (</w:t>
      </w:r>
      <w:proofErr w:type="gramStart"/>
      <w:r w:rsidR="00840189">
        <w:t>good</w:t>
      </w:r>
      <w:proofErr w:type="gramEnd"/>
      <w:r w:rsidR="00840189">
        <w:t xml:space="preserve"> expression, mostly in brain and heart)</w:t>
      </w:r>
      <w:r w:rsidR="00382006">
        <w:t xml:space="preserve"> – used in literature</w:t>
      </w:r>
      <w:r w:rsidR="00450248">
        <w:t xml:space="preserve"> (same in GRCh37; the same one used for the alignment in DIOPT)</w:t>
      </w:r>
    </w:p>
    <w:p w14:paraId="4A907C27" w14:textId="77777777" w:rsidR="00765B6C" w:rsidRDefault="00765B6C" w:rsidP="00765B6C"/>
    <w:p w14:paraId="6A539F52" w14:textId="1EF0D386" w:rsidR="00765B6C" w:rsidRDefault="00765B6C" w:rsidP="00765B6C">
      <w:r w:rsidRPr="00FD6EC6">
        <w:rPr>
          <w:color w:val="70AD47" w:themeColor="accent6"/>
        </w:rPr>
        <w:t>STXBP1</w:t>
      </w:r>
      <w:r w:rsidR="007E243A">
        <w:t xml:space="preserve"> - </w:t>
      </w:r>
      <w:r w:rsidR="00A70546" w:rsidRPr="0088058F">
        <w:rPr>
          <w:b/>
          <w:bCs/>
        </w:rPr>
        <w:t>ENST00000373299.5</w:t>
      </w:r>
      <w:r w:rsidR="00AF6204">
        <w:rPr>
          <w:b/>
          <w:bCs/>
        </w:rPr>
        <w:t xml:space="preserve">; </w:t>
      </w:r>
      <w:r w:rsidR="00AF6204" w:rsidRPr="00AF6204">
        <w:t>corresponds to</w:t>
      </w:r>
      <w:r w:rsidR="00AF6204">
        <w:rPr>
          <w:b/>
          <w:bCs/>
        </w:rPr>
        <w:t xml:space="preserve"> </w:t>
      </w:r>
      <w:r w:rsidR="00AF6204" w:rsidRPr="00FD6EC6">
        <w:rPr>
          <w:b/>
          <w:bCs/>
        </w:rPr>
        <w:t>CCDS35146, NM_001032221.6</w:t>
      </w:r>
      <w:r w:rsidR="00AA31EE" w:rsidRPr="00FD6EC6">
        <w:rPr>
          <w:b/>
          <w:bCs/>
        </w:rPr>
        <w:t>, NP_001027392.1</w:t>
      </w:r>
      <w:r w:rsidR="00AF6204" w:rsidRPr="00AF6204">
        <w:t xml:space="preserve"> </w:t>
      </w:r>
      <w:r w:rsidR="00840189">
        <w:t>(good expression across tissues)</w:t>
      </w:r>
      <w:r w:rsidR="00450248" w:rsidRPr="00450248">
        <w:t xml:space="preserve"> </w:t>
      </w:r>
      <w:r w:rsidR="00450248">
        <w:t xml:space="preserve">(same in GRCh37; </w:t>
      </w:r>
      <w:r w:rsidR="00DA6854" w:rsidRPr="00DA6854">
        <w:rPr>
          <w:color w:val="FF0000"/>
          <w:u w:val="single"/>
        </w:rPr>
        <w:t>DIOPT uses different protein</w:t>
      </w:r>
      <w:r w:rsidR="00450248">
        <w:t>)</w:t>
      </w:r>
      <w:r w:rsidR="00AF6204">
        <w:t>.</w:t>
      </w:r>
    </w:p>
    <w:p w14:paraId="6B09CBB1" w14:textId="77777777" w:rsidR="001F36DE" w:rsidRDefault="001F36DE" w:rsidP="00765B6C"/>
    <w:p w14:paraId="6A855930" w14:textId="6E440535" w:rsidR="001F36DE" w:rsidRDefault="001F36DE" w:rsidP="001F36DE">
      <w:r w:rsidRPr="00FD6EC6">
        <w:rPr>
          <w:color w:val="70AD47" w:themeColor="accent6"/>
        </w:rPr>
        <w:t>PTPN11</w:t>
      </w:r>
      <w:r>
        <w:t xml:space="preserve"> - </w:t>
      </w:r>
      <w:r w:rsidRPr="00FD6EC6">
        <w:rPr>
          <w:b/>
          <w:bCs/>
        </w:rPr>
        <w:t>ENST00000351677.7</w:t>
      </w:r>
      <w:r>
        <w:t xml:space="preserve"> in GRCh38 (</w:t>
      </w:r>
      <w:r w:rsidRPr="00FD6EC6">
        <w:rPr>
          <w:b/>
          <w:bCs/>
        </w:rPr>
        <w:t>ENST00000351677.2</w:t>
      </w:r>
      <w:r>
        <w:t xml:space="preserve"> in GRCh37), corresponds to </w:t>
      </w:r>
      <w:r w:rsidRPr="00FD6EC6">
        <w:rPr>
          <w:b/>
          <w:bCs/>
        </w:rPr>
        <w:t>NM_002834.5, NP_002825.3, CCDS9163</w:t>
      </w:r>
      <w:r w:rsidR="00592DD3">
        <w:t xml:space="preserve">. </w:t>
      </w:r>
      <w:r w:rsidR="00592DD3" w:rsidRPr="00036934">
        <w:rPr>
          <w:color w:val="FF0000"/>
          <w:u w:val="single"/>
        </w:rPr>
        <w:t xml:space="preserve">DIOPT uses </w:t>
      </w:r>
      <w:r w:rsidR="00036934" w:rsidRPr="00036934">
        <w:rPr>
          <w:color w:val="FF0000"/>
          <w:u w:val="single"/>
        </w:rPr>
        <w:t>different protein isoform</w:t>
      </w:r>
      <w:r w:rsidR="00036934">
        <w:t>.</w:t>
      </w:r>
    </w:p>
    <w:p w14:paraId="0162AE0B" w14:textId="77777777" w:rsidR="007E243A" w:rsidRDefault="007E243A" w:rsidP="00765B6C"/>
    <w:p w14:paraId="2513FB29" w14:textId="16032418" w:rsidR="00765B6C" w:rsidRDefault="00765B6C" w:rsidP="00765B6C">
      <w:r w:rsidRPr="0088058F">
        <w:rPr>
          <w:strike/>
          <w:color w:val="FF0000"/>
        </w:rPr>
        <w:t>TCF4</w:t>
      </w:r>
      <w:r w:rsidR="007E243A" w:rsidRPr="0088058F">
        <w:rPr>
          <w:color w:val="FF0000"/>
        </w:rPr>
        <w:t xml:space="preserve"> </w:t>
      </w:r>
      <w:r w:rsidR="007E243A">
        <w:t xml:space="preserve">- </w:t>
      </w:r>
      <w:r w:rsidR="007E243A" w:rsidRPr="0088058F">
        <w:t>ENST00000354452.8</w:t>
      </w:r>
      <w:r w:rsidR="007E243A">
        <w:t xml:space="preserve">, </w:t>
      </w:r>
      <w:r w:rsidR="007E243A" w:rsidRPr="007E243A">
        <w:t>NM_001083962.2</w:t>
      </w:r>
      <w:r w:rsidR="00840189">
        <w:t xml:space="preserve"> (</w:t>
      </w:r>
      <w:r w:rsidR="00CD7E91">
        <w:t xml:space="preserve">no expression in </w:t>
      </w:r>
      <w:proofErr w:type="spellStart"/>
      <w:r w:rsidR="00CD7E91">
        <w:t>GTEx</w:t>
      </w:r>
      <w:proofErr w:type="spellEnd"/>
      <w:r w:rsidR="00CD7E91">
        <w:t xml:space="preserve">; highly expressed </w:t>
      </w:r>
      <w:r w:rsidR="00CD7E91" w:rsidRPr="00CD7E91">
        <w:t>ENST00000635990.2</w:t>
      </w:r>
      <w:r w:rsidR="00384362">
        <w:t xml:space="preserve"> which is not a protein-coding transcript in Ensambl</w:t>
      </w:r>
      <w:r w:rsidR="00840189">
        <w:t>)</w:t>
      </w:r>
      <w:r w:rsidR="005726C1">
        <w:t xml:space="preserve">. A recent </w:t>
      </w:r>
      <w:r w:rsidR="00AF1D50">
        <w:t xml:space="preserve">paper (PMID: </w:t>
      </w:r>
      <w:r w:rsidR="00AF1D50" w:rsidRPr="00AF1D50">
        <w:t>34837432</w:t>
      </w:r>
      <w:r w:rsidR="00AF1D50">
        <w:t>) on clinical interpretation of variants in TCF4 (among few other genes) has chosen the above isoform as the one relevant for clinical interpretation.</w:t>
      </w:r>
    </w:p>
    <w:p w14:paraId="09E08683" w14:textId="77777777" w:rsidR="007E243A" w:rsidRDefault="007E243A" w:rsidP="00765B6C"/>
    <w:p w14:paraId="0A971CBA" w14:textId="7258BFD7" w:rsidR="00765B6C" w:rsidRDefault="00765B6C" w:rsidP="00765B6C">
      <w:r w:rsidRPr="0021496B">
        <w:rPr>
          <w:color w:val="70AD47" w:themeColor="accent6"/>
        </w:rPr>
        <w:t>MECP2</w:t>
      </w:r>
      <w:r w:rsidR="007E243A">
        <w:t xml:space="preserve"> - </w:t>
      </w:r>
      <w:r w:rsidR="00BA7BFC" w:rsidRPr="00FD6EC6">
        <w:rPr>
          <w:b/>
          <w:bCs/>
        </w:rPr>
        <w:t>ENST00000453960.7, NM_001110792.2</w:t>
      </w:r>
      <w:r w:rsidR="00BA7BFC">
        <w:t xml:space="preserve"> </w:t>
      </w:r>
      <w:r w:rsidR="00921AE5">
        <w:t>(</w:t>
      </w:r>
      <w:r w:rsidR="00921AE5" w:rsidRPr="00921AE5">
        <w:rPr>
          <w:b/>
          <w:bCs/>
          <w:color w:val="538135" w:themeColor="accent6" w:themeShade="BF"/>
        </w:rPr>
        <w:t>E1 isoform</w:t>
      </w:r>
      <w:r w:rsidR="00921AE5">
        <w:t xml:space="preserve">) </w:t>
      </w:r>
      <w:r w:rsidR="00DC0A5F">
        <w:t>(no brain expression</w:t>
      </w:r>
      <w:r w:rsidR="00921AE5">
        <w:t xml:space="preserve"> in </w:t>
      </w:r>
      <w:proofErr w:type="spellStart"/>
      <w:r w:rsidR="00921AE5">
        <w:t>GTEx</w:t>
      </w:r>
      <w:proofErr w:type="spellEnd"/>
      <w:r w:rsidR="00921AE5">
        <w:t>, but this is probably not correct</w:t>
      </w:r>
      <w:r w:rsidR="00DC0A5F">
        <w:t xml:space="preserve">) </w:t>
      </w:r>
      <w:r w:rsidR="00BA7BFC" w:rsidRPr="00BA7BFC">
        <w:rPr>
          <w:b/>
          <w:bCs/>
          <w:color w:val="FF0000"/>
        </w:rPr>
        <w:t>OR</w:t>
      </w:r>
      <w:r w:rsidR="00BA7BFC">
        <w:t xml:space="preserve"> </w:t>
      </w:r>
      <w:r w:rsidR="00BA7BFC" w:rsidRPr="0088058F">
        <w:rPr>
          <w:b/>
          <w:bCs/>
        </w:rPr>
        <w:t>ENST00000303391.11</w:t>
      </w:r>
      <w:r w:rsidR="00BA7BFC">
        <w:t xml:space="preserve">, </w:t>
      </w:r>
      <w:r w:rsidR="00BA7BFC" w:rsidRPr="006A1CFE">
        <w:rPr>
          <w:b/>
          <w:bCs/>
        </w:rPr>
        <w:t>NM_004992.4</w:t>
      </w:r>
      <w:r w:rsidR="00DC0A5F">
        <w:t xml:space="preserve"> </w:t>
      </w:r>
      <w:r w:rsidR="00921AE5">
        <w:t>(</w:t>
      </w:r>
      <w:r w:rsidR="00921AE5" w:rsidRPr="00921AE5">
        <w:rPr>
          <w:b/>
          <w:bCs/>
          <w:color w:val="538135" w:themeColor="accent6" w:themeShade="BF"/>
        </w:rPr>
        <w:t>E2 isoform</w:t>
      </w:r>
      <w:r w:rsidR="00921AE5">
        <w:t xml:space="preserve">) </w:t>
      </w:r>
      <w:r w:rsidR="00DC0A5F">
        <w:t>(brain expression</w:t>
      </w:r>
      <w:r w:rsidR="00856ACA">
        <w:t xml:space="preserve">; used for clinical interpretation PMID: </w:t>
      </w:r>
      <w:r w:rsidR="00856ACA" w:rsidRPr="00AF1D50">
        <w:t>34837432</w:t>
      </w:r>
      <w:r w:rsidR="00DC0A5F">
        <w:t>)</w:t>
      </w:r>
      <w:r w:rsidR="00461D0F">
        <w:t xml:space="preserve">. The Ensemble transcript IDs are the same across assemblies. </w:t>
      </w:r>
    </w:p>
    <w:p w14:paraId="140E9F9D" w14:textId="77777777" w:rsidR="00BA7BFC" w:rsidRDefault="00BA7BFC" w:rsidP="00765B6C"/>
    <w:p w14:paraId="77BB5D9B" w14:textId="5A5E1FF2" w:rsidR="0013198E" w:rsidRDefault="00765B6C" w:rsidP="0013198E">
      <w:r w:rsidRPr="0021496B">
        <w:rPr>
          <w:color w:val="70AD47" w:themeColor="accent6"/>
        </w:rPr>
        <w:t>CTNNB1</w:t>
      </w:r>
      <w:r w:rsidR="00BA7BFC">
        <w:t xml:space="preserve"> - </w:t>
      </w:r>
      <w:r w:rsidR="00BA7BFC" w:rsidRPr="0088058F">
        <w:rPr>
          <w:b/>
          <w:bCs/>
        </w:rPr>
        <w:t>ENST00000349496.11</w:t>
      </w:r>
      <w:r w:rsidR="00BA7BFC">
        <w:t xml:space="preserve">, </w:t>
      </w:r>
      <w:r w:rsidR="00ED4DE0" w:rsidRPr="006A1CFE">
        <w:rPr>
          <w:b/>
          <w:bCs/>
        </w:rPr>
        <w:t>NM_001904.</w:t>
      </w:r>
      <w:r w:rsidR="00ED4DE0" w:rsidRPr="00ED4DE0">
        <w:t>4</w:t>
      </w:r>
      <w:r w:rsidR="0013198E">
        <w:t xml:space="preserve"> (good expression across tissues)</w:t>
      </w:r>
      <w:r w:rsidR="00461D0F">
        <w:t>. The ID is the same for both GRCh37 and GRCh38</w:t>
      </w:r>
    </w:p>
    <w:p w14:paraId="0EA4DCB7" w14:textId="65B42488" w:rsidR="00974381" w:rsidRDefault="00974381" w:rsidP="0013198E"/>
    <w:p w14:paraId="4AEA5D42" w14:textId="6D686FAB" w:rsidR="00974381" w:rsidRDefault="00974381" w:rsidP="0013198E">
      <w:r w:rsidRPr="0021496B">
        <w:rPr>
          <w:color w:val="70AD47" w:themeColor="accent6"/>
        </w:rPr>
        <w:t>DDX3X</w:t>
      </w:r>
      <w:r>
        <w:t xml:space="preserve"> - </w:t>
      </w:r>
      <w:r w:rsidRPr="00FD6EC6">
        <w:rPr>
          <w:b/>
          <w:bCs/>
        </w:rPr>
        <w:t>ENST00000644876.2, NM_001356.5</w:t>
      </w:r>
      <w:r w:rsidR="007C6088">
        <w:t xml:space="preserve"> (in GRCh38), </w:t>
      </w:r>
      <w:r w:rsidR="007C6088" w:rsidRPr="005D37CF">
        <w:rPr>
          <w:b/>
          <w:bCs/>
        </w:rPr>
        <w:t>ENST00000399959</w:t>
      </w:r>
      <w:r w:rsidR="005D37CF" w:rsidRPr="005D37CF">
        <w:rPr>
          <w:b/>
          <w:bCs/>
        </w:rPr>
        <w:t>.2</w:t>
      </w:r>
      <w:r w:rsidR="005D37CF">
        <w:t>, (</w:t>
      </w:r>
      <w:r w:rsidR="005D37CF" w:rsidRPr="005D37CF">
        <w:rPr>
          <w:b/>
          <w:bCs/>
        </w:rPr>
        <w:t>NM_001356.5, NP_001347</w:t>
      </w:r>
      <w:r w:rsidR="005D37CF">
        <w:t>)</w:t>
      </w:r>
      <w:r w:rsidR="007C6088" w:rsidRPr="007C6088">
        <w:t xml:space="preserve"> </w:t>
      </w:r>
      <w:r w:rsidR="007C6088">
        <w:t xml:space="preserve">in GRCh37. It is </w:t>
      </w:r>
      <w:r w:rsidR="001F7326">
        <w:t>not f</w:t>
      </w:r>
      <w:r w:rsidR="00DC321B">
        <w:t>o</w:t>
      </w:r>
      <w:r w:rsidR="001F7326">
        <w:t xml:space="preserve">und in </w:t>
      </w:r>
      <w:proofErr w:type="spellStart"/>
      <w:r w:rsidR="001F7326">
        <w:t>GTEx</w:t>
      </w:r>
      <w:proofErr w:type="spellEnd"/>
      <w:r w:rsidR="001F7326">
        <w:t xml:space="preserve"> but used in </w:t>
      </w:r>
      <w:proofErr w:type="spellStart"/>
      <w:r w:rsidR="001F7326">
        <w:t>ClinVar</w:t>
      </w:r>
      <w:proofErr w:type="spellEnd"/>
      <w:r w:rsidR="001F7326">
        <w:t>, VariCarta and in the literature</w:t>
      </w:r>
      <w:r w:rsidR="00394609">
        <w:t>. A paper with biochemical variants (</w:t>
      </w:r>
      <w:r w:rsidR="00394609" w:rsidRPr="00394609">
        <w:t>PMID: 32135084</w:t>
      </w:r>
      <w:r w:rsidR="00394609">
        <w:t>) added to Zotero.</w:t>
      </w:r>
    </w:p>
    <w:p w14:paraId="49CA4678" w14:textId="77777777" w:rsidR="00C229FB" w:rsidRDefault="00C229FB" w:rsidP="0013198E"/>
    <w:p w14:paraId="444CBD14" w14:textId="6643EF1A" w:rsidR="00765B6C" w:rsidRDefault="00974381" w:rsidP="00765B6C">
      <w:r w:rsidRPr="0021496B">
        <w:rPr>
          <w:color w:val="70AD47" w:themeColor="accent6"/>
        </w:rPr>
        <w:t>BRAF</w:t>
      </w:r>
      <w:r w:rsidR="00B6032D">
        <w:t xml:space="preserve"> - </w:t>
      </w:r>
      <w:r w:rsidR="00B6032D" w:rsidRPr="00B6032D">
        <w:t>ENST00000644969.2</w:t>
      </w:r>
      <w:r w:rsidR="00B6032D">
        <w:t xml:space="preserve">, </w:t>
      </w:r>
      <w:r w:rsidR="00B6032D" w:rsidRPr="00B6032D">
        <w:t>NM_001374258.1</w:t>
      </w:r>
      <w:r w:rsidR="00D82A85">
        <w:t xml:space="preserve">. </w:t>
      </w:r>
      <w:proofErr w:type="spellStart"/>
      <w:r w:rsidR="00D82A85">
        <w:t>ClinVar</w:t>
      </w:r>
      <w:proofErr w:type="spellEnd"/>
      <w:r w:rsidR="00D82A85">
        <w:t xml:space="preserve"> mostly uses </w:t>
      </w:r>
      <w:r w:rsidR="00D82A85" w:rsidRPr="006A1CFE">
        <w:rPr>
          <w:b/>
          <w:bCs/>
        </w:rPr>
        <w:t>NM_004333.6</w:t>
      </w:r>
      <w:r w:rsidR="00542AA2">
        <w:rPr>
          <w:b/>
          <w:bCs/>
        </w:rPr>
        <w:t xml:space="preserve"> (</w:t>
      </w:r>
      <w:r w:rsidR="00542AA2" w:rsidRPr="00B57147">
        <w:rPr>
          <w:b/>
          <w:bCs/>
        </w:rPr>
        <w:t>NP_004324</w:t>
      </w:r>
      <w:r w:rsidR="00542AA2">
        <w:rPr>
          <w:b/>
          <w:bCs/>
        </w:rPr>
        <w:t>.2)</w:t>
      </w:r>
      <w:r w:rsidR="00D82A85">
        <w:t>; the same with VariCarta</w:t>
      </w:r>
      <w:r w:rsidR="00A36518">
        <w:t>; this is also the most prevalent isoform in the literature</w:t>
      </w:r>
      <w:r w:rsidR="00D82A85">
        <w:t xml:space="preserve">. </w:t>
      </w:r>
      <w:r w:rsidR="00542AA2">
        <w:t xml:space="preserve">This corresponds to </w:t>
      </w:r>
      <w:proofErr w:type="spellStart"/>
      <w:r w:rsidR="00542AA2">
        <w:t>Ensembl’s</w:t>
      </w:r>
      <w:proofErr w:type="spellEnd"/>
      <w:r w:rsidR="00542AA2">
        <w:t xml:space="preserve"> transcript </w:t>
      </w:r>
      <w:r w:rsidR="008763D8" w:rsidRPr="008763D8">
        <w:rPr>
          <w:b/>
          <w:bCs/>
        </w:rPr>
        <w:t>ENST00000288602.6</w:t>
      </w:r>
      <w:r w:rsidR="008763D8">
        <w:t xml:space="preserve"> (in GRCh37; </w:t>
      </w:r>
      <w:r w:rsidR="00C45DD3" w:rsidRPr="008763D8">
        <w:t>ENST00000646891</w:t>
      </w:r>
      <w:r w:rsidR="008763D8" w:rsidRPr="008763D8">
        <w:t>.1</w:t>
      </w:r>
      <w:r w:rsidR="008763D8">
        <w:rPr>
          <w:b/>
          <w:bCs/>
        </w:rPr>
        <w:t xml:space="preserve"> </w:t>
      </w:r>
      <w:r w:rsidR="008763D8" w:rsidRPr="008763D8">
        <w:t>in GRCh38</w:t>
      </w:r>
      <w:r w:rsidR="008763D8">
        <w:t>). Ensembl change</w:t>
      </w:r>
      <w:r w:rsidR="008527E6">
        <w:t>d</w:t>
      </w:r>
      <w:r w:rsidR="008763D8">
        <w:t xml:space="preserve"> the name of the transcript but the sequence </w:t>
      </w:r>
      <w:r w:rsidR="008527E6">
        <w:t>remained</w:t>
      </w:r>
      <w:r w:rsidR="008763D8">
        <w:t xml:space="preserve"> the same (both IDs are linked to CCDS5863)</w:t>
      </w:r>
      <w:r w:rsidR="006A1CFE">
        <w:t>. The</w:t>
      </w:r>
      <w:r w:rsidR="008763D8">
        <w:t xml:space="preserve"> Ensembl and NCBI (NM_) ID are not directly linked </w:t>
      </w:r>
      <w:r w:rsidR="008527E6">
        <w:t xml:space="preserve">in GRCh38 but are linked in GRCh37. </w:t>
      </w:r>
    </w:p>
    <w:p w14:paraId="5738A0D2" w14:textId="327E731A" w:rsidR="00CE1099" w:rsidRDefault="00CE1099" w:rsidP="00765B6C"/>
    <w:p w14:paraId="38128BFB" w14:textId="69938E28" w:rsidR="00CE1099" w:rsidRDefault="00CE1099" w:rsidP="00765B6C">
      <w:r>
        <w:rPr>
          <w:noProof/>
        </w:rPr>
        <w:lastRenderedPageBreak/>
        <w:drawing>
          <wp:inline distT="0" distB="0" distL="0" distR="0" wp14:anchorId="7C45B26F" wp14:editId="2CD660FC">
            <wp:extent cx="5943600" cy="1237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FE25" w14:textId="77777777" w:rsidR="00FD6EC6" w:rsidRDefault="00FD6EC6" w:rsidP="00765B6C"/>
    <w:p w14:paraId="44435341" w14:textId="012BF0A2" w:rsidR="00FD6EC6" w:rsidRDefault="00FD6EC6" w:rsidP="00FD6EC6">
      <w:r>
        <w:t xml:space="preserve">PPP2R5D - </w:t>
      </w:r>
      <w:r w:rsidRPr="00FD6EC6">
        <w:rPr>
          <w:b/>
          <w:bCs/>
        </w:rPr>
        <w:t>ENST00000485511</w:t>
      </w:r>
      <w:r w:rsidRPr="00FD6EC6">
        <w:rPr>
          <w:b/>
          <w:bCs/>
        </w:rPr>
        <w:t xml:space="preserve">, </w:t>
      </w:r>
      <w:r w:rsidRPr="00FD6EC6">
        <w:rPr>
          <w:b/>
          <w:bCs/>
        </w:rPr>
        <w:t>NM_006245</w:t>
      </w:r>
      <w:r w:rsidRPr="00FD6EC6">
        <w:rPr>
          <w:b/>
          <w:bCs/>
        </w:rPr>
        <w:t xml:space="preserve">, </w:t>
      </w:r>
      <w:r w:rsidRPr="00FD6EC6">
        <w:rPr>
          <w:b/>
          <w:bCs/>
        </w:rPr>
        <w:t>NP_006236</w:t>
      </w:r>
      <w:r w:rsidRPr="00FD6EC6">
        <w:rPr>
          <w:b/>
          <w:bCs/>
        </w:rPr>
        <w:t xml:space="preserve">, </w:t>
      </w:r>
      <w:r w:rsidRPr="00FD6EC6">
        <w:rPr>
          <w:b/>
          <w:bCs/>
        </w:rPr>
        <w:t>CCDS4878</w:t>
      </w:r>
    </w:p>
    <w:p w14:paraId="5CC193D5" w14:textId="09514386" w:rsidR="00561963" w:rsidRDefault="00561963" w:rsidP="00765B6C"/>
    <w:sectPr w:rsidR="00561963" w:rsidSect="003F3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6C"/>
    <w:rsid w:val="00036934"/>
    <w:rsid w:val="0013198E"/>
    <w:rsid w:val="001C426A"/>
    <w:rsid w:val="001F36DE"/>
    <w:rsid w:val="001F7326"/>
    <w:rsid w:val="0021496B"/>
    <w:rsid w:val="00382006"/>
    <w:rsid w:val="00384362"/>
    <w:rsid w:val="00394609"/>
    <w:rsid w:val="003F37B8"/>
    <w:rsid w:val="00450248"/>
    <w:rsid w:val="00461D0F"/>
    <w:rsid w:val="00542AA2"/>
    <w:rsid w:val="00561963"/>
    <w:rsid w:val="005726C1"/>
    <w:rsid w:val="00592DD3"/>
    <w:rsid w:val="005D37CF"/>
    <w:rsid w:val="005E6348"/>
    <w:rsid w:val="006A1CFE"/>
    <w:rsid w:val="006C6D3F"/>
    <w:rsid w:val="0071401B"/>
    <w:rsid w:val="00765B6C"/>
    <w:rsid w:val="007C3EF6"/>
    <w:rsid w:val="007C6088"/>
    <w:rsid w:val="007E243A"/>
    <w:rsid w:val="00840189"/>
    <w:rsid w:val="008527E6"/>
    <w:rsid w:val="00856ACA"/>
    <w:rsid w:val="008763D8"/>
    <w:rsid w:val="0088058F"/>
    <w:rsid w:val="00921AE5"/>
    <w:rsid w:val="00974381"/>
    <w:rsid w:val="009D1486"/>
    <w:rsid w:val="00A36518"/>
    <w:rsid w:val="00A70546"/>
    <w:rsid w:val="00A847AF"/>
    <w:rsid w:val="00AA31EE"/>
    <w:rsid w:val="00AF1D50"/>
    <w:rsid w:val="00AF6204"/>
    <w:rsid w:val="00B0175A"/>
    <w:rsid w:val="00B277CF"/>
    <w:rsid w:val="00B5290F"/>
    <w:rsid w:val="00B6032D"/>
    <w:rsid w:val="00B67CDE"/>
    <w:rsid w:val="00B96371"/>
    <w:rsid w:val="00BA7BFC"/>
    <w:rsid w:val="00BE1DE4"/>
    <w:rsid w:val="00C20AFC"/>
    <w:rsid w:val="00C229FB"/>
    <w:rsid w:val="00C3788E"/>
    <w:rsid w:val="00C45DD3"/>
    <w:rsid w:val="00CD23D0"/>
    <w:rsid w:val="00CD7E91"/>
    <w:rsid w:val="00CE1099"/>
    <w:rsid w:val="00D82A85"/>
    <w:rsid w:val="00DA6854"/>
    <w:rsid w:val="00DB7BD1"/>
    <w:rsid w:val="00DC0A5F"/>
    <w:rsid w:val="00DC321B"/>
    <w:rsid w:val="00DD752E"/>
    <w:rsid w:val="00E62BCA"/>
    <w:rsid w:val="00ED4DE0"/>
    <w:rsid w:val="00EF33DA"/>
    <w:rsid w:val="00F23832"/>
    <w:rsid w:val="00F62C6A"/>
    <w:rsid w:val="00F91396"/>
    <w:rsid w:val="00FB5400"/>
    <w:rsid w:val="00FC0E0A"/>
    <w:rsid w:val="00F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F7521"/>
  <w15:chartTrackingRefBased/>
  <w15:docId w15:val="{8616395A-0D5C-7149-89D6-BB694999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Rogic</dc:creator>
  <cp:keywords/>
  <dc:description/>
  <cp:lastModifiedBy>Rogic, Sanja</cp:lastModifiedBy>
  <cp:revision>2</cp:revision>
  <dcterms:created xsi:type="dcterms:W3CDTF">2023-06-01T16:49:00Z</dcterms:created>
  <dcterms:modified xsi:type="dcterms:W3CDTF">2023-06-01T16:49:00Z</dcterms:modified>
</cp:coreProperties>
</file>