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93.png" ContentType="image/png"/>
  <Override PartName="/word/media/rId96.png" ContentType="image/png"/>
  <Override PartName="/word/media/rId99.png" ContentType="image/png"/>
  <Override PartName="/word/media/rId103.png" ContentType="image/png"/>
  <Override PartName="/word/media/rId106.png" ContentType="image/png"/>
  <Override PartName="/word/media/rId109.png" ContentType="image/png"/>
  <Override PartName="/word/media/rId113.png" ContentType="image/png"/>
  <Override PartName="/word/media/rId118.png" ContentType="image/png"/>
  <Override PartName="/word/media/rId122.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7.png" ContentType="image/png"/>
  <Override PartName="/word/media/rId80.png" ContentType="image/png"/>
  <Override PartName="/word/media/rId83.png" ContentType="image/png"/>
  <Override PartName="/word/media/rId8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bookmarkStart w:id="24" w:name="summary-statistics"/>
    <w:p>
      <w:pPr>
        <w:pStyle w:val="Heading1"/>
      </w:pPr>
      <w:r>
        <w:rPr>
          <w:rStyle w:val="SectionNumber"/>
        </w:rPr>
        <w:t xml:space="preserve">1</w:t>
      </w:r>
      <w:r>
        <w:tab/>
      </w:r>
      <w:r>
        <w:t xml:space="preserve">Summary Statistics</w:t>
      </w:r>
    </w:p>
    <w:bookmarkStart w:id="20" w:name="demographics"/>
    <w:p>
      <w:pPr>
        <w:pStyle w:val="Heading2"/>
      </w:pPr>
      <w:r>
        <w:rPr>
          <w:rStyle w:val="SectionNumber"/>
        </w:rPr>
        <w:t xml:space="preserve">1.1</w:t>
      </w:r>
      <w:r>
        <w:tab/>
      </w:r>
      <w:r>
        <w:t xml:space="preserve">Demographics</w:t>
      </w:r>
    </w:p>
    <w:p>
      <w:pPr>
        <w:pStyle w:val="FirstParagraph"/>
      </w:pPr>
      <w:r>
        <w:t xml:space="preserve">The study involved 77 participants with the majority using Medtronic780 (40.3%) and Omnipod (29.9%) insulin pumps, while others used Medtronic640 (16.9%) and tslim (13.0%). Most participants utilized an open insulin delivery system (58.4%), and nearly all had Type I diabetes (93.5%). The gender distribution showed 62.3% females and 37.7% males, with an average age of 49.4 years. The average duration since diabetes diagnosis was 24.3 years, and the average duration of being diabetic was 23.6 years.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Demographic caracteristics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14"/>
        <w:gridCol w:w="288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(N=77)</w:t>
            </w:r>
          </w:p>
        </w:tc>
      </w:tr>
      <w:tr>
        <w:trPr>
          <w:trHeight w:val="423" w:hRule="auto"/>
        </w:trPr>
        body 1
        <w:tc>
          <w:tcPr>
            <w:vMerge w:val="restart"/>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 of insulin pump</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medtronic640</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 (16.9%)</w:t>
            </w:r>
          </w:p>
        </w:tc>
      </w:tr>
      <w:tr>
        <w:trPr>
          <w:trHeight w:val="42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medtronic780</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 (40.3%)</w:t>
            </w:r>
          </w:p>
        </w:tc>
      </w:tr>
      <w:tr>
        <w:trPr>
          <w:trHeight w:val="42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omnipod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 (29.9%)</w:t>
            </w:r>
          </w:p>
        </w:tc>
      </w:tr>
      <w:tr>
        <w:trPr>
          <w:trHeight w:val="42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tslim</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 (13.0%)</w:t>
            </w:r>
          </w:p>
        </w:tc>
      </w:tr>
      <w:tr>
        <w:trPr>
          <w:trHeight w:val="42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Boucle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Open</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 (58.4%)</w:t>
            </w:r>
          </w:p>
        </w:tc>
      </w:tr>
      <w:tr>
        <w:trPr>
          <w:trHeight w:val="42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Semi-closed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 (41.6%)</w:t>
            </w:r>
          </w:p>
        </w:tc>
      </w:tr>
      <w:tr>
        <w:trPr>
          <w:trHeight w:val="423"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Other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 (6.5%)</w:t>
            </w:r>
          </w:p>
        </w:tc>
      </w:tr>
      <w:tr>
        <w:trPr>
          <w:trHeight w:val="42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 I</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 (93.5%)</w:t>
            </w:r>
          </w:p>
        </w:tc>
      </w:tr>
      <w:tr>
        <w:trPr>
          <w:trHeight w:val="423"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Female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 (62.3%)</w:t>
            </w:r>
          </w:p>
        </w:tc>
      </w:tr>
      <w:tr>
        <w:trPr>
          <w:trHeight w:val="423"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Male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 (37.7%)</w:t>
            </w:r>
          </w:p>
        </w:tc>
      </w:tr>
      <w:tr>
        <w:trPr>
          <w:trHeight w:val="423"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49.4 (14.9)</w:t>
            </w:r>
          </w:p>
        </w:tc>
      </w:tr>
      <w:tr>
        <w:trPr>
          <w:trHeight w:val="423"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49.0 (24.0)</w:t>
            </w:r>
          </w:p>
        </w:tc>
      </w:tr>
      <w:tr>
        <w:trPr>
          <w:trHeight w:val="413"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22.0 - 76.0</w:t>
            </w:r>
          </w:p>
        </w:tc>
      </w:tr>
      <w:tr>
        <w:trPr>
          <w:trHeight w:val="423"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Duration after diabetes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 (13.1)</w:t>
            </w:r>
          </w:p>
        </w:tc>
      </w:tr>
      <w:tr>
        <w:trPr>
          <w:trHeight w:val="423"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 (19.0)</w:t>
            </w:r>
          </w:p>
        </w:tc>
      </w:tr>
      <w:tr>
        <w:trPr>
          <w:trHeight w:val="416"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3.0 - 51.0</w:t>
            </w:r>
          </w:p>
        </w:tc>
      </w:tr>
      <w:tr>
        <w:trPr>
          <w:trHeight w:val="423" w:hRule="auto"/>
        </w:trPr>
        body17
        <w:tc>
          <w:tcPr>
            <w:vMerge w:val="restart"/>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Duration of being diabetic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23.6 (13.1)</w:t>
            </w:r>
          </w:p>
        </w:tc>
      </w:tr>
      <w:tr>
        <w:trPr>
          <w:trHeight w:val="423" w:hRule="auto"/>
        </w:trPr>
        body18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23.0 (19.0)</w:t>
            </w:r>
          </w:p>
        </w:tc>
      </w:tr>
      <w:tr>
        <w:trPr>
          <w:trHeight w:val="413" w:hRule="auto"/>
        </w:trPr>
        body19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2.0 - 50.0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Questionaire Baseline</w:t>
            </w:r>
          </w:p>
        </w:tc>
      </w:tr>
    </w:tbl>
    <w:p>
      <w:pPr>
        <w:pStyle w:val="BodyText"/>
      </w:pPr>
    </w:p>
    <w:bookmarkEnd w:id="20"/>
    <w:bookmarkStart w:id="21" w:name="summary-of-scores"/>
    <w:p>
      <w:pPr>
        <w:pStyle w:val="Heading2"/>
      </w:pPr>
      <w:r>
        <w:rPr>
          <w:rStyle w:val="SectionNumber"/>
        </w:rPr>
        <w:t xml:space="preserve">1.2</w:t>
      </w:r>
      <w:r>
        <w:tab/>
      </w:r>
      <w:r>
        <w:t xml:space="preserve">Summary of Scores</w:t>
      </w:r>
    </w:p>
    <w:p>
      <w:pPr>
        <w:pStyle w:val="FirstParagraph"/>
      </w:pPr>
      <w:r>
        <w:t xml:space="preserve">The study assessed various health indices among participants. The World Health Organization Five Well-Being Index had a mean score of 58.6 with a range from 8.0 to 88.0, indicating varying levels of well-being. The Patient Health Questionnaire 9 showed a mean score of 6.9, reflecting mild depressive symptoms, with scores ranging from 0.0 to 26.0. The assessment of precariousness and health inequalities had a mean score of 19.6, highlighting moderate levels of socio-economic difficulties. Other metrics such as compliance (mean: 1.0), fragility (mean: 2.0), and various diabetes distress scales provided insights into the participants’ compliance, fragility, and distress levels, with glycated hemoglobin levels averaging 7.3, indicating overall blood glucose control. The Time in Range (TIR) metric, which measures the percentage of time participants’ blood glucose levels were within the target range, had a mean of 62.2%, suggesting moderate glycemic control. Additionally, the incidence of severe hypoglycemia in the past six months was relatively low, with a mean of 0.6 episodes, indicating that most participants experienced few severe hypoglycemic events.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Evaluation of various health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(N=77)</w:t>
            </w:r>
          </w:p>
        </w:tc>
      </w:tr>
      <w:tr>
        <w:trPr>
          <w:trHeight w:val="423" w:hRule="auto"/>
        </w:trPr>
        body 1
        <w:tc>
          <w:tcPr>
            <w:vMerge w:val="restart"/>
            <w:tcBorders>
              <w:bottom w:val="single" w:sz="6"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World health organization five well being index</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 (21.96)</w:t>
            </w:r>
          </w:p>
        </w:tc>
      </w:tr>
      <w:tr>
        <w:trPr>
          <w:trHeight w:val="423" w:hRule="auto"/>
        </w:trPr>
        body 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64.00 (32.00)</w:t>
            </w:r>
          </w:p>
        </w:tc>
      </w:tr>
      <w:tr>
        <w:trPr>
          <w:trHeight w:val="413" w:hRule="auto"/>
        </w:trPr>
        body 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8.00 - 88.00</w:t>
            </w:r>
          </w:p>
        </w:tc>
      </w:tr>
      <w:tr>
        <w:trPr>
          <w:trHeight w:val="423" w:hRule="auto"/>
        </w:trPr>
        body 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Patient Health Questionnaire 9</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 (5.91)</w:t>
            </w:r>
          </w:p>
        </w:tc>
      </w:tr>
      <w:tr>
        <w:trPr>
          <w:trHeight w:val="423" w:hRule="auto"/>
        </w:trPr>
        body 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6.00 (8.00)</w:t>
            </w:r>
          </w:p>
        </w:tc>
      </w:tr>
      <w:tr>
        <w:trPr>
          <w:trHeight w:val="422" w:hRule="auto"/>
        </w:trPr>
        body 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0.00 - 26.00</w:t>
            </w:r>
          </w:p>
        </w:tc>
      </w:tr>
      <w:tr>
        <w:trPr>
          <w:trHeight w:val="423" w:hRule="auto"/>
        </w:trPr>
        body 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Assessment of precariousness and health inequalities in health examination centers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 (19.43)</w:t>
            </w:r>
          </w:p>
        </w:tc>
      </w:tr>
      <w:tr>
        <w:trPr>
          <w:trHeight w:val="423" w:hRule="auto"/>
        </w:trPr>
        body 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15.38 (21.29)</w:t>
            </w:r>
          </w:p>
        </w:tc>
      </w:tr>
      <w:tr>
        <w:trPr>
          <w:trHeight w:val="416" w:hRule="auto"/>
        </w:trPr>
        body 9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0.00 - 81.07</w:t>
            </w:r>
          </w:p>
        </w:tc>
      </w:tr>
      <w:tr>
        <w:trPr>
          <w:trHeight w:val="423" w:hRule="auto"/>
        </w:trPr>
        body10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Gired : compliance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 (0.91)</w:t>
            </w:r>
          </w:p>
        </w:tc>
      </w:tr>
      <w:tr>
        <w:trPr>
          <w:trHeight w:val="423" w:hRule="auto"/>
        </w:trPr>
        body11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(1.00)</w:t>
            </w:r>
          </w:p>
        </w:tc>
      </w:tr>
      <w:tr>
        <w:trPr>
          <w:trHeight w:val="422" w:hRule="auto"/>
        </w:trPr>
        body12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0.00 - 3.00</w:t>
            </w:r>
          </w:p>
        </w:tc>
      </w:tr>
      <w:tr>
        <w:trPr>
          <w:trHeight w:val="423" w:hRule="auto"/>
        </w:trPr>
        body13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 : fragility</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 (1.39)</w:t>
            </w:r>
          </w:p>
        </w:tc>
      </w:tr>
      <w:tr>
        <w:trPr>
          <w:trHeight w:val="423" w:hRule="auto"/>
        </w:trPr>
        body14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2.00 (2.00)</w:t>
            </w:r>
          </w:p>
        </w:tc>
      </w:tr>
      <w:tr>
        <w:trPr>
          <w:trHeight w:val="413" w:hRule="auto"/>
        </w:trPr>
        body15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0.00 - 4.00</w:t>
            </w:r>
          </w:p>
        </w:tc>
      </w:tr>
      <w:tr>
        <w:trPr>
          <w:trHeight w:val="423" w:hRule="auto"/>
        </w:trPr>
        body16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 (0.78)</w:t>
            </w:r>
          </w:p>
        </w:tc>
      </w:tr>
      <w:tr>
        <w:trPr>
          <w:trHeight w:val="423" w:hRule="auto"/>
        </w:trPr>
        body17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1.94 (1.06)</w:t>
            </w:r>
          </w:p>
        </w:tc>
      </w:tr>
      <w:tr>
        <w:trPr>
          <w:trHeight w:val="422" w:hRule="auto"/>
        </w:trPr>
        body18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1.00 - 5.35</w:t>
            </w:r>
          </w:p>
        </w:tc>
      </w:tr>
      <w:tr>
        <w:trPr>
          <w:trHeight w:val="423" w:hRule="auto"/>
        </w:trPr>
        body19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emotional</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 (1.17)</w:t>
            </w:r>
          </w:p>
        </w:tc>
      </w:tr>
      <w:tr>
        <w:trPr>
          <w:trHeight w:val="423" w:hRule="auto"/>
        </w:trPr>
        body20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 (1.60)</w:t>
            </w:r>
          </w:p>
        </w:tc>
      </w:tr>
      <w:tr>
        <w:trPr>
          <w:trHeight w:val="413" w:hRule="auto"/>
        </w:trPr>
        body21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1.00 - 5.80</w:t>
            </w:r>
          </w:p>
        </w:tc>
      </w:tr>
      <w:tr>
        <w:trPr>
          <w:trHeight w:val="423" w:hRule="auto"/>
        </w:trPr>
        body22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healthcare providers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 (0.74)</w:t>
            </w:r>
          </w:p>
        </w:tc>
      </w:tr>
      <w:tr>
        <w:trPr>
          <w:trHeight w:val="423" w:hRule="auto"/>
        </w:trPr>
        body23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1.25 (0.75)</w:t>
            </w:r>
          </w:p>
        </w:tc>
      </w:tr>
      <w:tr>
        <w:trPr>
          <w:trHeight w:val="422" w:hRule="auto"/>
        </w:trPr>
        body24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1.00 - 4.50</w:t>
            </w:r>
          </w:p>
        </w:tc>
      </w:tr>
      <w:tr>
        <w:trPr>
          <w:trHeight w:val="423" w:hRule="auto"/>
        </w:trPr>
        body25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distress scale lifestyle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 (0.84)</w:t>
            </w:r>
          </w:p>
        </w:tc>
      </w:tr>
      <w:tr>
        <w:trPr>
          <w:trHeight w:val="423" w:hRule="auto"/>
        </w:trPr>
        body26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 (1.20)</w:t>
            </w:r>
          </w:p>
        </w:tc>
      </w:tr>
      <w:tr>
        <w:trPr>
          <w:trHeight w:val="413" w:hRule="auto"/>
        </w:trPr>
        body27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1.00 - 5.60</w:t>
            </w:r>
          </w:p>
        </w:tc>
      </w:tr>
      <w:tr>
        <w:trPr>
          <w:trHeight w:val="423" w:hRule="auto"/>
        </w:trPr>
        body28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Diabetes family distress scale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 (1.37)</w:t>
            </w:r>
          </w:p>
        </w:tc>
      </w:tr>
      <w:tr>
        <w:trPr>
          <w:trHeight w:val="423" w:hRule="auto"/>
        </w:trPr>
        body29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1.67 (1.34)</w:t>
            </w:r>
          </w:p>
        </w:tc>
      </w:tr>
      <w:tr>
        <w:trPr>
          <w:trHeight w:val="413" w:hRule="auto"/>
        </w:trPr>
        body30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1.00 - 6.00</w:t>
            </w:r>
          </w:p>
        </w:tc>
      </w:tr>
      <w:tr>
        <w:trPr>
          <w:trHeight w:val="423" w:hRule="auto"/>
        </w:trPr>
        body31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Glycated hemoglobin</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 (0.83)</w:t>
            </w:r>
          </w:p>
        </w:tc>
      </w:tr>
      <w:tr>
        <w:trPr>
          <w:trHeight w:val="423" w:hRule="auto"/>
        </w:trPr>
        body32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7.20 (1.20)</w:t>
            </w:r>
          </w:p>
        </w:tc>
      </w:tr>
      <w:tr>
        <w:trPr>
          <w:trHeight w:val="413" w:hRule="auto"/>
        </w:trPr>
        body33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5.88 - 10.30</w:t>
            </w:r>
          </w:p>
        </w:tc>
      </w:tr>
      <w:tr>
        <w:trPr>
          <w:trHeight w:val="423" w:hRule="auto"/>
        </w:trPr>
        body34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 in range = time on target</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 (16.65)</w:t>
            </w:r>
          </w:p>
        </w:tc>
      </w:tr>
      <w:tr>
        <w:trPr>
          <w:trHeight w:val="423" w:hRule="auto"/>
        </w:trPr>
        body35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65.00 (24.20)</w:t>
            </w:r>
          </w:p>
        </w:tc>
      </w:tr>
      <w:tr>
        <w:trPr>
          <w:trHeight w:val="413" w:hRule="auto"/>
        </w:trPr>
        body36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23.90 - 89.00</w:t>
            </w:r>
          </w:p>
        </w:tc>
      </w:tr>
      <w:tr>
        <w:trPr>
          <w:trHeight w:val="423" w:hRule="auto"/>
        </w:trPr>
        body37
        <w:tc>
          <w:tcPr>
            <w:vMerge w:val="restart"/>
            <w:tcBorders>
              <w:bottom w:val="single" w:sz="12"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Severe hypoglycemia in the past 6 months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0.57 (1.33)</w:t>
            </w:r>
          </w:p>
        </w:tc>
      </w:tr>
      <w:tr>
        <w:trPr>
          <w:trHeight w:val="423" w:hRule="auto"/>
        </w:trPr>
        body38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(0.00)</w:t>
            </w:r>
          </w:p>
        </w:tc>
      </w:tr>
      <w:tr>
        <w:trPr>
          <w:trHeight w:val="422" w:hRule="auto"/>
        </w:trPr>
        body39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0.00 - 6.00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1"/>
    <w:bookmarkStart w:id="22" w:name="summary-of-eortcqlqbr23"/>
    <w:p>
      <w:pPr>
        <w:pStyle w:val="Heading2"/>
      </w:pPr>
      <w:r>
        <w:rPr>
          <w:rStyle w:val="SectionNumber"/>
        </w:rPr>
        <w:t xml:space="preserve">1.3</w:t>
      </w:r>
      <w:r>
        <w:tab/>
      </w:r>
      <w:r>
        <w:t xml:space="preserve">Summary of EORTCQLQBR23</w:t>
      </w:r>
    </w:p>
    <w:p>
      <w:pPr>
        <w:pStyle w:val="FirstParagraph"/>
      </w:pPr>
      <w:r>
        <w:t xml:space="preserve">The scoring method for the EORTC QLQ-BR23 involves two main steps: calculating the raw score and performing a linear transformation. The raw score for each multi-item scale is the average of the corresponding item scores, while single-item measures use the item’s score as the raw score. Certain items require reverse scoring before statistical analysis. To standardize raw scores to a 0-100 range, a linear transformation is applied: for functional scales, the formula is</w:t>
      </w:r>
      <w:r>
        <w:t xml:space="preserve"> </w:t>
      </w:r>
      <m:oMath>
        <m:r>
          <m:t>S</m:t>
        </m:r>
        <m:r>
          <m:rPr>
            <m:sty m:val="p"/>
          </m:rPr>
          <m:t>=</m:t>
        </m:r>
        <m:d>
          <m:dPr>
            <m:begChr m:val="("/>
            <m:endChr m:val=")"/>
            <m:sepChr m:val=""/>
            <m:grow/>
          </m:dPr>
          <m:e>
            <m:r>
              <m:t>1</m:t>
            </m:r>
            <m:r>
              <m:rPr>
                <m:sty m:val="p"/>
              </m:rPr>
              <m:t>−</m:t>
            </m:r>
            <m:f>
              <m:fPr>
                <m:type m:val="bar"/>
              </m:fPr>
              <m:num>
                <m:r>
                  <m:t>R</m:t>
                </m:r>
                <m:r>
                  <m:t>S</m:t>
                </m:r>
                <m:r>
                  <m:rPr>
                    <m:sty m:val="p"/>
                  </m:rPr>
                  <m:t>−</m:t>
                </m:r>
                <m:r>
                  <m:t>1</m:t>
                </m:r>
              </m:num>
              <m:den>
                <m:r>
                  <m:rPr>
                    <m:nor/>
                    <m:sty m:val="p"/>
                  </m:rPr>
                  <m:t>range</m:t>
                </m:r>
              </m:den>
            </m:f>
          </m:e>
        </m:d>
        <m:r>
          <m:rPr>
            <m:sty m:val="p"/>
          </m:rPr>
          <m:t>×</m:t>
        </m:r>
        <m:r>
          <m:t>100</m:t>
        </m:r>
      </m:oMath>
      <w:r>
        <w:t xml:space="preserve">, and for symptom scales, the formula is</w:t>
      </w:r>
      <w:r>
        <w:t xml:space="preserve"> </w:t>
      </w:r>
      <m:oMath>
        <m:r>
          <m:t>S</m:t>
        </m:r>
        <m:r>
          <m:rPr>
            <m:sty m:val="p"/>
          </m:rPr>
          <m:t>=</m:t>
        </m:r>
        <m:d>
          <m:dPr>
            <m:begChr m:val="("/>
            <m:endChr m:val=")"/>
            <m:sepChr m:val=""/>
            <m:grow/>
          </m:dPr>
          <m:e>
            <m:f>
              <m:fPr>
                <m:type m:val="bar"/>
              </m:fPr>
              <m:num>
                <m:r>
                  <m:t>R</m:t>
                </m:r>
                <m:r>
                  <m:t>S</m:t>
                </m:r>
                <m:r>
                  <m:rPr>
                    <m:sty m:val="p"/>
                  </m:rPr>
                  <m:t>−</m:t>
                </m:r>
                <m:r>
                  <m:t>1</m:t>
                </m:r>
              </m:num>
              <m:den>
                <m:r>
                  <m:rPr>
                    <m:nor/>
                    <m:sty m:val="p"/>
                  </m:rPr>
                  <m:t>range</m:t>
                </m:r>
              </m:den>
            </m:f>
          </m:e>
        </m:d>
        <m:r>
          <m:rPr>
            <m:sty m:val="p"/>
          </m:rPr>
          <m:t>×</m:t>
        </m:r>
        <m:r>
          <m:t>100</m:t>
        </m:r>
      </m:oMath>
      <w:r>
        <w:t xml:space="preserve">. High scores on functional scales indicate better functioning, while high scores on symptom scales indicate higher symptom severity.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EORTC QLQ-BR23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 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(N=25)</w:t>
            </w:r>
          </w:p>
        </w:tc>
      </w:tr>
      <w:tr>
        <w:trPr>
          <w:trHeight w:val="423" w:hRule="auto"/>
        </w:trPr>
        body 1
        <w:tc>
          <w:tcPr>
            <w:vMerge w:val="restart"/>
            <w:tcBorders>
              <w:bottom w:val="single" w:sz="6"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Body Image</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57.33 (31.02)</w:t>
            </w:r>
          </w:p>
        </w:tc>
      </w:tr>
      <w:tr>
        <w:trPr>
          <w:trHeight w:val="423" w:hRule="auto"/>
        </w:trPr>
        body 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58.33 (50.00)</w:t>
            </w:r>
          </w:p>
        </w:tc>
      </w:tr>
      <w:tr>
        <w:trPr>
          <w:trHeight w:val="422" w:hRule="auto"/>
        </w:trPr>
        body 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 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Sexual Function</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24.67 (21.58)</w:t>
            </w:r>
          </w:p>
        </w:tc>
      </w:tr>
      <w:tr>
        <w:trPr>
          <w:trHeight w:val="423" w:hRule="auto"/>
        </w:trPr>
        body 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 (33.33)</w:t>
            </w:r>
          </w:p>
        </w:tc>
      </w:tr>
      <w:tr>
        <w:trPr>
          <w:trHeight w:val="423" w:hRule="auto"/>
        </w:trPr>
        body 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0.00 - 83.33</w:t>
            </w:r>
          </w:p>
        </w:tc>
      </w:tr>
      <w:tr>
        <w:trPr>
          <w:trHeight w:val="423" w:hRule="auto"/>
        </w:trPr>
        body 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Sexual Enjoyment</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47.22 (22.29)</w:t>
            </w:r>
          </w:p>
        </w:tc>
      </w:tr>
      <w:tr>
        <w:trPr>
          <w:trHeight w:val="423" w:hRule="auto"/>
        </w:trPr>
        body 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50.00 (33.33)</w:t>
            </w:r>
          </w:p>
        </w:tc>
      </w:tr>
      <w:tr>
        <w:trPr>
          <w:trHeight w:val="422"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0.00 - 66.67</w:t>
            </w:r>
          </w:p>
        </w:tc>
      </w:tr>
      <w:tr>
        <w:trPr>
          <w:trHeight w:val="423" w:hRule="auto"/>
        </w:trPr>
        body10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Missing</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 (52.0%)</w:t>
            </w:r>
          </w:p>
        </w:tc>
      </w:tr>
      <w:tr>
        <w:trPr>
          <w:trHeight w:val="423" w:hRule="auto"/>
        </w:trPr>
        body11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Future Perspective</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40.00 (34.69)</w:t>
            </w:r>
          </w:p>
        </w:tc>
      </w:tr>
      <w:tr>
        <w:trPr>
          <w:trHeight w:val="423" w:hRule="auto"/>
        </w:trPr>
        body12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33.33 (66.67)</w:t>
            </w:r>
          </w:p>
        </w:tc>
      </w:tr>
      <w:tr>
        <w:trPr>
          <w:trHeight w:val="423" w:hRule="auto"/>
        </w:trPr>
        body13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body14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Systemic Therapy Side Effects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37.94 (21.28)</w:t>
            </w:r>
          </w:p>
        </w:tc>
      </w:tr>
      <w:tr>
        <w:trPr>
          <w:trHeight w:val="423" w:hRule="auto"/>
        </w:trPr>
        body15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42.86 (42.86)</w:t>
            </w:r>
          </w:p>
        </w:tc>
      </w:tr>
      <w:tr>
        <w:trPr>
          <w:trHeight w:val="423" w:hRule="auto"/>
        </w:trPr>
        body16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9.52 - 72.22</w:t>
            </w:r>
          </w:p>
        </w:tc>
      </w:tr>
      <w:tr>
        <w:trPr>
          <w:trHeight w:val="423" w:hRule="auto"/>
        </w:trPr>
        body17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Breast Symptoms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19.67 (17.66)</w:t>
            </w:r>
          </w:p>
        </w:tc>
      </w:tr>
      <w:tr>
        <w:trPr>
          <w:trHeight w:val="423" w:hRule="auto"/>
        </w:trPr>
        body18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16.67 (25.00)</w:t>
            </w:r>
          </w:p>
        </w:tc>
      </w:tr>
      <w:tr>
        <w:trPr>
          <w:trHeight w:val="422" w:hRule="auto"/>
        </w:trPr>
        body19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0.00 - 66.67</w:t>
            </w:r>
          </w:p>
        </w:tc>
      </w:tr>
      <w:tr>
        <w:trPr>
          <w:trHeight w:val="423" w:hRule="auto"/>
        </w:trPr>
        body20
        <w:tc>
          <w:tcPr>
            <w:vMerge w:val="restart"/>
            <w:tcBorders>
              <w:bottom w:val="single" w:sz="6"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Arm Symptoms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16.00 (20.81)</w:t>
            </w:r>
          </w:p>
        </w:tc>
      </w:tr>
      <w:tr>
        <w:trPr>
          <w:trHeight w:val="423" w:hRule="auto"/>
        </w:trPr>
        body21
        <w:tc>
          <w:tcPr>
            <w:vMerge/>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(33.33)</w:t>
            </w:r>
          </w:p>
        </w:tc>
      </w:tr>
      <w:tr>
        <w:trPr>
          <w:trHeight w:val="413" w:hRule="auto"/>
        </w:trPr>
        body22
        <w:tc>
          <w:tcPr>
            <w:vMerge/>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6"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0.00 - 55.56</w:t>
            </w:r>
          </w:p>
        </w:tc>
      </w:tr>
      <w:tr>
        <w:trPr>
          <w:trHeight w:val="423" w:hRule="auto"/>
        </w:trPr>
        body23
        <w:tc>
          <w:tcPr>
            <w:vMerge w:val="restart"/>
            <w:tcBorders>
              <w:bottom w:val="single" w:sz="12" w:space="0" w:color="AAAAAA"/>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Upset by Hair Loss</w:t>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6"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60.78 (39.50)</w:t>
            </w:r>
          </w:p>
        </w:tc>
      </w:tr>
      <w:tr>
        <w:trPr>
          <w:trHeight w:val="423" w:hRule="auto"/>
        </w:trPr>
        body24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66.67 (66.67)</w:t>
            </w:r>
          </w:p>
        </w:tc>
      </w:tr>
      <w:tr>
        <w:trPr>
          <w:trHeight w:val="422"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423" w:hRule="auto"/>
        </w:trPr>
        body26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Missing</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 (32.0%)</w:t>
            </w:r>
          </w:p>
        </w:tc>
      </w:tr>
      <w:tr>
        <w:trPr>
          <w:trHeight w:val="360" w:hRule="auto"/>
        </w:trPr>
        footer 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2"/>
    <w:bookmarkStart w:id="23" w:name="summary-of-satisfaction-with-breasts"/>
    <w:p>
      <w:pPr>
        <w:pStyle w:val="Heading2"/>
      </w:pPr>
      <w:r>
        <w:rPr>
          <w:rStyle w:val="SectionNumber"/>
        </w:rPr>
        <w:t xml:space="preserve">1.4</w:t>
      </w:r>
      <w:r>
        <w:tab/>
      </w:r>
      <w:r>
        <w:t xml:space="preserve">Summary of SATISFACTION WITH BREASTS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Satisfaction with Breasts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2160"/>
        <w:gridCol w:w="14"/>
        <w:gridCol w:w="1440"/>
      </w:tblGrid>
      <w:tr>
        <w:trPr>
          <w:trHeight w:val="554" w:hRule="auto"/>
          <w:tblHeader/>
        </w:trPr>
        header1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Statistic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(N=25)</w:t>
            </w:r>
          </w:p>
        </w:tc>
      </w:tr>
      <w:tr>
        <w:trPr>
          <w:trHeight w:val="423" w:hRule="auto"/>
        </w:trPr>
        body1
        <w:tc>
          <w:tcPr>
            <w:vMerge w:val="restart"/>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Satisfaction with Breasts</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(SD)</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60.92 (28.12)</w:t>
            </w:r>
          </w:p>
        </w:tc>
      </w:tr>
      <w:tr>
        <w:trPr>
          <w:trHeight w:val="423" w:hRule="auto"/>
        </w:trPr>
        body2
        <w:tc>
          <w:tcPr>
            <w:vMerge/>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Median (IQR)</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68.75 (25.00)</w:t>
            </w:r>
          </w:p>
        </w:tc>
      </w:tr>
      <w:tr>
        <w:trPr>
          <w:trHeight w:val="423" w:hRule="auto"/>
        </w:trPr>
        body3
        <w:tc>
          <w:tcPr>
            <w:vMerge/>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Range</w:t>
            </w:r>
          </w:p>
        </w:tc>
        <w:tc>
          <w:tcPr>
            <w:tcBorders>
              <w:bottom w:val="none" w:sz="0"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0"/>
                <w:szCs w:val="20"/>
                <w:color w:val="000000"/>
              </w:rPr>
              <w:t xml:space="preserve"/>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0.00 - 100.00</w:t>
            </w:r>
          </w:p>
        </w:tc>
      </w:tr>
      <w:tr>
        <w:trPr>
          <w:trHeight w:val="360" w:hRule="auto"/>
        </w:trPr>
        footer1
        <w:tc>
          <w:tcPr>
            <w:gridSpan w:val="4"/>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Questionnaire Baseline</w:t>
            </w:r>
          </w:p>
        </w:tc>
      </w:tr>
    </w:tbl>
    <w:bookmarkEnd w:id="23"/>
    <w:bookmarkEnd w:id="24"/>
    <w:bookmarkStart w:id="76" w:name="Xb131c10349f8062e972d0b93c2c3a60064e05ec"/>
    <w:p>
      <w:pPr>
        <w:pStyle w:val="Heading1"/>
      </w:pPr>
      <w:r>
        <w:rPr>
          <w:rStyle w:val="SectionNumber"/>
        </w:rPr>
        <w:t xml:space="preserve">2</w:t>
      </w:r>
      <w:r>
        <w:tab/>
      </w:r>
      <w:r>
        <w:t xml:space="preserve">Principal Component Analysis (with encoded categories, typepompe excluded)</w:t>
      </w:r>
    </w:p>
    <w:bookmarkStart w:id="28" w:name="eigenvalues-of-principal-components"/>
    <w:p>
      <w:pPr>
        <w:pStyle w:val="Heading2"/>
      </w:pPr>
      <w:r>
        <w:rPr>
          <w:rStyle w:val="SectionNumber"/>
        </w:rPr>
        <w:t xml:space="preserve">2.1</w:t>
      </w:r>
      <w:r>
        <w:tab/>
      </w:r>
      <w:r>
        <w:t xml:space="preserve">Eigenvalues of Principal Components</w:t>
      </w:r>
    </w:p>
    <w:p>
      <w:pPr>
        <w:pStyle w:val="FirstParagraph"/>
      </w:pPr>
      <w:r>
        <w:rPr>
          <w:bCs/>
          <w:b/>
        </w:rPr>
        <w:t xml:space="preserve">Practical Implications</w:t>
      </w:r>
      <w:r>
        <w:t xml:space="preserve"> </w:t>
      </w:r>
      <w:r>
        <w:t xml:space="preserve">Based on the scree plot:</w:t>
      </w:r>
    </w:p>
    <w:p>
      <w:pPr>
        <w:pStyle w:val="BodyText"/>
      </w:pPr>
      <w:r>
        <w:t xml:space="preserve">The scree plot shown in Figure 2.1 displays the eigenvalues of the principal components derived from a Principal Component Analysis (PCA). Each bar represents the percentage of the total variance explained by each principal component. Here’s how to interpret this plot:</w:t>
      </w:r>
    </w:p>
    <w:p>
      <w:pPr>
        <w:numPr>
          <w:ilvl w:val="0"/>
          <w:numId w:val="1001"/>
        </w:numPr>
        <w:pStyle w:val="Compact"/>
      </w:pPr>
      <w:r>
        <w:rPr>
          <w:bCs/>
          <w:b/>
        </w:rPr>
        <w:t xml:space="preserve">X-axis (Dimensions)</w:t>
      </w:r>
      <w:r>
        <w:t xml:space="preserve">:</w:t>
      </w:r>
    </w:p>
    <w:p>
      <w:pPr>
        <w:numPr>
          <w:ilvl w:val="1"/>
          <w:numId w:val="1002"/>
        </w:numPr>
        <w:pStyle w:val="Compact"/>
      </w:pPr>
      <w:r>
        <w:t xml:space="preserve">This axis represents the principal components, numbered from 1 to 10 in this plot.</w:t>
      </w:r>
    </w:p>
    <w:p>
      <w:pPr>
        <w:numPr>
          <w:ilvl w:val="0"/>
          <w:numId w:val="1001"/>
        </w:numPr>
        <w:pStyle w:val="Compact"/>
      </w:pPr>
      <w:r>
        <w:rPr>
          <w:bCs/>
          <w:b/>
        </w:rPr>
        <w:t xml:space="preserve">Y-axis (Percentage of Explained Variance)</w:t>
      </w:r>
      <w:r>
        <w:t xml:space="preserve">:</w:t>
      </w:r>
    </w:p>
    <w:p>
      <w:pPr>
        <w:numPr>
          <w:ilvl w:val="1"/>
          <w:numId w:val="1003"/>
        </w:numPr>
        <w:pStyle w:val="Compact"/>
      </w:pPr>
      <w:r>
        <w:t xml:space="preserve">This axis shows the percentage of the total variance in the dataset explained by each principal component.</w:t>
      </w:r>
    </w:p>
    <w:p>
      <w:pPr>
        <w:numPr>
          <w:ilvl w:val="0"/>
          <w:numId w:val="1001"/>
        </w:numPr>
        <w:pStyle w:val="Compact"/>
      </w:pPr>
      <w:r>
        <w:rPr>
          <w:bCs/>
          <w:b/>
        </w:rPr>
        <w:t xml:space="preserve">Bars (Percentage of Explained Variance by Each Component)</w:t>
      </w:r>
      <w:r>
        <w:t xml:space="preserve">:</w:t>
      </w:r>
    </w:p>
    <w:p>
      <w:pPr>
        <w:numPr>
          <w:ilvl w:val="1"/>
          <w:numId w:val="1004"/>
        </w:numPr>
        <w:pStyle w:val="Compact"/>
      </w:pPr>
      <w:r>
        <w:t xml:space="preserve">Each bar’s height indicates the proportion of the total variance explained by the corresponding principal component. For example, the first principal component explains approximately 33.6% of the total variance, while the second explains about 14.5%.</w:t>
      </w:r>
    </w:p>
    <w:p>
      <w:pPr>
        <w:numPr>
          <w:ilvl w:val="0"/>
          <w:numId w:val="1001"/>
        </w:numPr>
        <w:pStyle w:val="Compact"/>
      </w:pPr>
      <w:r>
        <w:rPr>
          <w:bCs/>
          <w:b/>
        </w:rPr>
        <w:t xml:space="preserve">Line Plot (Cumulative Explained Variance)</w:t>
      </w:r>
      <w:r>
        <w:t xml:space="preserve">:</w:t>
      </w:r>
    </w:p>
    <w:p>
      <w:pPr>
        <w:numPr>
          <w:ilvl w:val="1"/>
          <w:numId w:val="1005"/>
        </w:numPr>
        <w:pStyle w:val="Compact"/>
      </w:pPr>
      <w:r>
        <w:t xml:space="preserve">The black line connecting the points at the top of each bar represents the cumulative explained variance. It helps to visualize how much total variance is explained as more principal components are included.</w:t>
      </w:r>
    </w:p>
    <w:p>
      <w:pPr>
        <w:pStyle w:val="FirstParagraph"/>
      </w:pPr>
      <w:r>
        <w:drawing>
          <wp:inline>
            <wp:extent cx="4620126" cy="3696101"/>
            <wp:effectExtent b="0" l="0" r="0" t="0"/>
            <wp:docPr descr="" title="" id="26" name="Picture"/>
            <a:graphic>
              <a:graphicData uri="http://schemas.openxmlformats.org/drawingml/2006/picture">
                <pic:pic>
                  <pic:nvPicPr>
                    <pic:cNvPr descr="Report_files/figure-docx/pca%20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8" w:name="individual-plot"/>
    <w:p>
      <w:pPr>
        <w:pStyle w:val="Heading2"/>
      </w:pPr>
      <w:r>
        <w:rPr>
          <w:rStyle w:val="SectionNumber"/>
        </w:rPr>
        <w:t xml:space="preserve">2.2</w:t>
      </w:r>
      <w:r>
        <w:tab/>
      </w:r>
      <w:r>
        <w:t xml:space="preserve">Individual Plot</w:t>
      </w:r>
    </w:p>
    <w:p>
      <w:pPr>
        <w:pStyle w:val="FirstParagraph"/>
      </w:pPr>
      <w:r>
        <w:rPr>
          <w:bCs/>
          <w:b/>
        </w:rPr>
        <w:t xml:space="preserve">Figure 2.2.1: Individuals Factor Map (PC1 vs PC2)</w:t>
      </w:r>
    </w:p>
    <w:p>
      <w:pPr>
        <w:numPr>
          <w:ilvl w:val="0"/>
          <w:numId w:val="1006"/>
        </w:numPr>
      </w:pPr>
      <w:r>
        <w:rPr>
          <w:bCs/>
          <w:b/>
        </w:rPr>
        <w:t xml:space="preserve">Axes</w:t>
      </w:r>
      <w:r>
        <w:t xml:space="preserve">:</w:t>
      </w:r>
    </w:p>
    <w:p>
      <w:pPr>
        <w:numPr>
          <w:ilvl w:val="1"/>
          <w:numId w:val="1007"/>
        </w:numPr>
        <w:pStyle w:val="Compact"/>
      </w:pPr>
      <w:r>
        <w:rPr>
          <w:bCs/>
          <w:b/>
        </w:rPr>
        <w:t xml:space="preserve">PC1</w:t>
      </w:r>
      <w:r>
        <w:t xml:space="preserve">: Explains 33.6% of the variance.</w:t>
      </w:r>
    </w:p>
    <w:p>
      <w:pPr>
        <w:numPr>
          <w:ilvl w:val="1"/>
          <w:numId w:val="1007"/>
        </w:numPr>
        <w:pStyle w:val="Compact"/>
      </w:pPr>
      <w:r>
        <w:rPr>
          <w:bCs/>
          <w:b/>
        </w:rPr>
        <w:t xml:space="preserve">PC2</w:t>
      </w:r>
      <w:r>
        <w:t xml:space="preserve">: Explains 14.5% of the variance.</w:t>
      </w:r>
    </w:p>
    <w:p>
      <w:pPr>
        <w:numPr>
          <w:ilvl w:val="0"/>
          <w:numId w:val="1006"/>
        </w:numPr>
      </w:pPr>
      <w:r>
        <w:rPr>
          <w:bCs/>
          <w:b/>
        </w:rPr>
        <w:t xml:space="preserve">Color</w:t>
      </w:r>
      <w:r>
        <w:t xml:space="preserve">: Points are colored based on cos2 values, indicating representation quality.</w:t>
      </w:r>
    </w:p>
    <w:p>
      <w:pPr>
        <w:numPr>
          <w:ilvl w:val="0"/>
          <w:numId w:val="1006"/>
        </w:numPr>
      </w:pPr>
      <w:r>
        <w:rPr>
          <w:bCs/>
          <w:b/>
        </w:rPr>
        <w:t xml:space="preserve">Interpretation</w:t>
      </w:r>
      <w:r>
        <w:t xml:space="preserve">: Points farther from the origin indicate individuals with extreme values on PC1 and PC2. Clustering suggests similar profiles.</w:t>
      </w:r>
    </w:p>
    <w:p>
      <w:pPr>
        <w:pStyle w:val="FirstParagraph"/>
      </w:pPr>
      <w:r>
        <w:rPr>
          <w:bCs/>
          <w:b/>
        </w:rPr>
        <w:t xml:space="preserve">Figure 2.2.2: Individuals Factor Map (PC1 vs PC3)</w:t>
      </w:r>
    </w:p>
    <w:p>
      <w:pPr>
        <w:numPr>
          <w:ilvl w:val="0"/>
          <w:numId w:val="1008"/>
        </w:numPr>
      </w:pPr>
      <w:r>
        <w:rPr>
          <w:bCs/>
          <w:b/>
        </w:rPr>
        <w:t xml:space="preserve">Axes</w:t>
      </w:r>
      <w:r>
        <w:t xml:space="preserve">:</w:t>
      </w:r>
    </w:p>
    <w:p>
      <w:pPr>
        <w:numPr>
          <w:ilvl w:val="1"/>
          <w:numId w:val="1009"/>
        </w:numPr>
        <w:pStyle w:val="Compact"/>
      </w:pPr>
      <w:r>
        <w:rPr>
          <w:bCs/>
          <w:b/>
        </w:rPr>
        <w:t xml:space="preserve">PC1</w:t>
      </w:r>
      <w:r>
        <w:t xml:space="preserve">: Explains 33.6% of the variance.</w:t>
      </w:r>
    </w:p>
    <w:p>
      <w:pPr>
        <w:numPr>
          <w:ilvl w:val="1"/>
          <w:numId w:val="1009"/>
        </w:numPr>
        <w:pStyle w:val="Compact"/>
      </w:pPr>
      <w:r>
        <w:rPr>
          <w:bCs/>
          <w:b/>
        </w:rPr>
        <w:t xml:space="preserve">PC3</w:t>
      </w:r>
      <w:r>
        <w:t xml:space="preserve">: Explains 10.6% of the variance.</w:t>
      </w:r>
    </w:p>
    <w:p>
      <w:pPr>
        <w:numPr>
          <w:ilvl w:val="0"/>
          <w:numId w:val="1008"/>
        </w:numPr>
      </w:pPr>
      <w:r>
        <w:rPr>
          <w:bCs/>
          <w:b/>
        </w:rPr>
        <w:t xml:space="preserve">Color</w:t>
      </w:r>
      <w:r>
        <w:t xml:space="preserve">: Points colored by cos2 values.</w:t>
      </w:r>
    </w:p>
    <w:p>
      <w:pPr>
        <w:numPr>
          <w:ilvl w:val="0"/>
          <w:numId w:val="1008"/>
        </w:numPr>
      </w:pPr>
      <w:r>
        <w:rPr>
          <w:bCs/>
          <w:b/>
        </w:rPr>
        <w:t xml:space="preserve">Interpretation</w:t>
      </w:r>
      <w:r>
        <w:t xml:space="preserve">: Shows additional variance captured by PC3. Identifies unique characteristics.</w:t>
      </w:r>
    </w:p>
    <w:p>
      <w:pPr>
        <w:pStyle w:val="FirstParagraph"/>
      </w:pPr>
      <w:r>
        <w:rPr>
          <w:bCs/>
          <w:b/>
        </w:rPr>
        <w:t xml:space="preserve">Figure 2.2.3: Individuals Factor Map (PC2 vs PC3)</w:t>
      </w:r>
    </w:p>
    <w:p>
      <w:pPr>
        <w:numPr>
          <w:ilvl w:val="0"/>
          <w:numId w:val="1010"/>
        </w:numPr>
      </w:pPr>
      <w:r>
        <w:rPr>
          <w:bCs/>
          <w:b/>
        </w:rPr>
        <w:t xml:space="preserve">Axes</w:t>
      </w:r>
      <w:r>
        <w:t xml:space="preserve">:</w:t>
      </w:r>
    </w:p>
    <w:p>
      <w:pPr>
        <w:numPr>
          <w:ilvl w:val="1"/>
          <w:numId w:val="1011"/>
        </w:numPr>
        <w:pStyle w:val="Compact"/>
      </w:pPr>
      <w:r>
        <w:rPr>
          <w:bCs/>
          <w:b/>
        </w:rPr>
        <w:t xml:space="preserve">PC2</w:t>
      </w:r>
      <w:r>
        <w:t xml:space="preserve">: Explains 14.5% of the variance.</w:t>
      </w:r>
    </w:p>
    <w:p>
      <w:pPr>
        <w:numPr>
          <w:ilvl w:val="1"/>
          <w:numId w:val="1011"/>
        </w:numPr>
        <w:pStyle w:val="Compact"/>
      </w:pPr>
      <w:r>
        <w:rPr>
          <w:bCs/>
          <w:b/>
        </w:rPr>
        <w:t xml:space="preserve">PC3</w:t>
      </w:r>
      <w:r>
        <w:t xml:space="preserve">: Explains 10.6% of the variance.</w:t>
      </w:r>
    </w:p>
    <w:p>
      <w:pPr>
        <w:numPr>
          <w:ilvl w:val="0"/>
          <w:numId w:val="1010"/>
        </w:numPr>
      </w:pPr>
      <w:r>
        <w:rPr>
          <w:bCs/>
          <w:b/>
        </w:rPr>
        <w:t xml:space="preserve">Color</w:t>
      </w:r>
      <w:r>
        <w:t xml:space="preserve">: Points colored by cos2 values.</w:t>
      </w:r>
    </w:p>
    <w:p>
      <w:pPr>
        <w:numPr>
          <w:ilvl w:val="0"/>
          <w:numId w:val="1010"/>
        </w:numPr>
      </w:pPr>
      <w:r>
        <w:rPr>
          <w:bCs/>
          <w:b/>
        </w:rPr>
        <w:t xml:space="preserve">Interpretation</w:t>
      </w:r>
      <w:r>
        <w:t xml:space="preserve">: Highlights variance captured by PC2 and PC3. Useful for examining unique relationships.</w:t>
      </w:r>
    </w:p>
    <w:p>
      <w:pPr>
        <w:pStyle w:val="FirstParagraph"/>
      </w:pPr>
      <w:r>
        <w:drawing>
          <wp:inline>
            <wp:extent cx="5943600" cy="3962400"/>
            <wp:effectExtent b="0" l="0" r="0" t="0"/>
            <wp:docPr descr="" title="" id="30" name="Picture"/>
            <a:graphic>
              <a:graphicData uri="http://schemas.openxmlformats.org/drawingml/2006/picture">
                <pic:pic>
                  <pic:nvPicPr>
                    <pic:cNvPr descr="Report_files/figure-docx/pca%202-1.png"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33" name="Picture"/>
            <a:graphic>
              <a:graphicData uri="http://schemas.openxmlformats.org/drawingml/2006/picture">
                <pic:pic>
                  <pic:nvPicPr>
                    <pic:cNvPr descr="Report_files/figure-docx/pca%202-2.png" id="34" name="Picture"/>
                    <pic:cNvPicPr>
                      <a:picLocks noChangeArrowheads="1" noChangeAspect="1"/>
                    </pic:cNvPicPr>
                  </pic:nvPicPr>
                  <pic:blipFill>
                    <a:blip r:embed="rId3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36" name="Picture"/>
            <a:graphic>
              <a:graphicData uri="http://schemas.openxmlformats.org/drawingml/2006/picture">
                <pic:pic>
                  <pic:nvPicPr>
                    <pic:cNvPr descr="Report_files/figure-docx/pca%202-3.png" id="37"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bookmarkEnd w:id="38"/>
    <w:bookmarkStart w:id="48" w:name="variable-plot"/>
    <w:p>
      <w:pPr>
        <w:pStyle w:val="Heading2"/>
      </w:pPr>
      <w:r>
        <w:rPr>
          <w:rStyle w:val="SectionNumber"/>
        </w:rPr>
        <w:t xml:space="preserve">2.3</w:t>
      </w:r>
      <w:r>
        <w:tab/>
      </w:r>
      <w:r>
        <w:t xml:space="preserve">Variable Plot</w:t>
      </w:r>
    </w:p>
    <w:p>
      <w:pPr>
        <w:numPr>
          <w:ilvl w:val="0"/>
          <w:numId w:val="1012"/>
        </w:numPr>
        <w:pStyle w:val="Compact"/>
      </w:pPr>
      <w:r>
        <w:rPr>
          <w:bCs/>
          <w:b/>
        </w:rPr>
        <w:t xml:space="preserve">Interpretation</w:t>
      </w:r>
      <w:r>
        <w:t xml:space="preserve">:</w:t>
      </w:r>
    </w:p>
    <w:p>
      <w:pPr>
        <w:numPr>
          <w:ilvl w:val="1"/>
          <w:numId w:val="1013"/>
        </w:numPr>
      </w:pPr>
      <w:r>
        <w:rPr>
          <w:bCs/>
          <w:b/>
        </w:rPr>
        <w:t xml:space="preserve">Vectors</w:t>
      </w:r>
      <w:r>
        <w:t xml:space="preserve">: Each vector represents a variable. The length and direction indicate the contribution and correlation of the variable with the principal components.</w:t>
      </w:r>
    </w:p>
    <w:p>
      <w:pPr>
        <w:numPr>
          <w:ilvl w:val="1"/>
          <w:numId w:val="1013"/>
        </w:numPr>
      </w:pPr>
      <w:r>
        <w:rPr>
          <w:bCs/>
          <w:b/>
        </w:rPr>
        <w:t xml:space="preserve">Clustering</w:t>
      </w:r>
      <w:r>
        <w:t xml:space="preserve">: Variables that cluster together are correlated.</w:t>
      </w:r>
    </w:p>
    <w:p>
      <w:pPr>
        <w:numPr>
          <w:ilvl w:val="1"/>
          <w:numId w:val="1013"/>
        </w:numPr>
      </w:pPr>
      <w:r>
        <w:rPr>
          <w:bCs/>
          <w:b/>
        </w:rPr>
        <w:t xml:space="preserve">Proximity to Circle</w:t>
      </w:r>
      <w:r>
        <w:t xml:space="preserve">: Variables close to the circle’s edge are well represented by PC1 and PC2, while those closer to the center are less well represented.</w:t>
      </w:r>
    </w:p>
    <w:p>
      <w:pPr>
        <w:pStyle w:val="FirstParagraph"/>
      </w:pPr>
      <w:r>
        <w:drawing>
          <wp:inline>
            <wp:extent cx="5943600" cy="3962400"/>
            <wp:effectExtent b="0" l="0" r="0" t="0"/>
            <wp:docPr descr="" title="" id="40" name="Picture"/>
            <a:graphic>
              <a:graphicData uri="http://schemas.openxmlformats.org/drawingml/2006/picture">
                <pic:pic>
                  <pic:nvPicPr>
                    <pic:cNvPr descr="Report_files/figure-docx/pca%203%201-1.png" id="41" name="Picture"/>
                    <pic:cNvPicPr>
                      <a:picLocks noChangeArrowheads="1" noChangeAspect="1"/>
                    </pic:cNvPicPr>
                  </pic:nvPicPr>
                  <pic:blipFill>
                    <a:blip r:embed="rId39"/>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43" name="Picture"/>
            <a:graphic>
              <a:graphicData uri="http://schemas.openxmlformats.org/drawingml/2006/picture">
                <pic:pic>
                  <pic:nvPicPr>
                    <pic:cNvPr descr="Report_files/figure-docx/pca%203%202-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46" name="Picture"/>
            <a:graphic>
              <a:graphicData uri="http://schemas.openxmlformats.org/drawingml/2006/picture">
                <pic:pic>
                  <pic:nvPicPr>
                    <pic:cNvPr descr="Report_files/figure-docx/pca%203%203-1.png" id="47" name="Picture"/>
                    <pic:cNvPicPr>
                      <a:picLocks noChangeArrowheads="1" noChangeAspect="1"/>
                    </pic:cNvPicPr>
                  </pic:nvPicPr>
                  <pic:blipFill>
                    <a:blip r:embed="rId45"/>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p>
    <w:bookmarkEnd w:id="48"/>
    <w:bookmarkStart w:id="67" w:name="contributing-variables-analysis"/>
    <w:p>
      <w:pPr>
        <w:pStyle w:val="Heading2"/>
      </w:pPr>
      <w:r>
        <w:rPr>
          <w:rStyle w:val="SectionNumber"/>
        </w:rPr>
        <w:t xml:space="preserve">2.4</w:t>
      </w:r>
      <w:r>
        <w:tab/>
      </w:r>
      <w:r>
        <w:t xml:space="preserve">Contributing variables analysis</w:t>
      </w:r>
    </w:p>
    <w:p>
      <w:pPr>
        <w:pStyle w:val="FirstParagraph"/>
      </w:pPr>
      <w:r>
        <w:t xml:space="preserve">The bar plots illustrate the contributions of variables to the first 4 principal components.</w:t>
      </w:r>
    </w:p>
    <w:p>
      <w:pPr>
        <w:pStyle w:val="BodyText"/>
      </w:pPr>
      <w:r>
        <w:drawing>
          <wp:inline>
            <wp:extent cx="5943600" cy="3962400"/>
            <wp:effectExtent b="0" l="0" r="0" t="0"/>
            <wp:docPr descr="" title="" id="50" name="Picture"/>
            <a:graphic>
              <a:graphicData uri="http://schemas.openxmlformats.org/drawingml/2006/picture">
                <pic:pic>
                  <pic:nvPicPr>
                    <pic:cNvPr descr="Report_files/figure-docx/pca%204-1.png" id="51" name="Picture"/>
                    <pic:cNvPicPr>
                      <a:picLocks noChangeArrowheads="1" noChangeAspect="1"/>
                    </pic:cNvPicPr>
                  </pic:nvPicPr>
                  <pic:blipFill>
                    <a:blip r:embed="rId49"/>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3" name="Picture"/>
            <a:graphic>
              <a:graphicData uri="http://schemas.openxmlformats.org/drawingml/2006/picture">
                <pic:pic>
                  <pic:nvPicPr>
                    <pic:cNvPr descr="Report_files/figure-docx/pca%204-2.png" id="54" name="Picture"/>
                    <pic:cNvPicPr>
                      <a:picLocks noChangeArrowheads="1" noChangeAspect="1"/>
                    </pic:cNvPicPr>
                  </pic:nvPicPr>
                  <pic:blipFill>
                    <a:blip r:embed="rId52"/>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6" name="Picture"/>
            <a:graphic>
              <a:graphicData uri="http://schemas.openxmlformats.org/drawingml/2006/picture">
                <pic:pic>
                  <pic:nvPicPr>
                    <pic:cNvPr descr="Report_files/figure-docx/pca%204-3.png" id="57" name="Picture"/>
                    <pic:cNvPicPr>
                      <a:picLocks noChangeArrowheads="1" noChangeAspect="1"/>
                    </pic:cNvPicPr>
                  </pic:nvPicPr>
                  <pic:blipFill>
                    <a:blip r:embed="rId55"/>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59" name="Picture"/>
            <a:graphic>
              <a:graphicData uri="http://schemas.openxmlformats.org/drawingml/2006/picture">
                <pic:pic>
                  <pic:nvPicPr>
                    <pic:cNvPr descr="Report_files/figure-docx/pca%204-4.png" id="60" name="Picture"/>
                    <pic:cNvPicPr>
                      <a:picLocks noChangeArrowheads="1" noChangeAspect="1"/>
                    </pic:cNvPicPr>
                  </pic:nvPicPr>
                  <pic:blipFill>
                    <a:blip r:embed="rId5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62" name="Picture"/>
            <a:graphic>
              <a:graphicData uri="http://schemas.openxmlformats.org/drawingml/2006/picture">
                <pic:pic>
                  <pic:nvPicPr>
                    <pic:cNvPr descr="Report_files/figure-docx/pca%204-5.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65" name="Picture"/>
            <a:graphic>
              <a:graphicData uri="http://schemas.openxmlformats.org/drawingml/2006/picture">
                <pic:pic>
                  <pic:nvPicPr>
                    <pic:cNvPr descr="Report_files/figure-docx/pca%204-6.png" id="66" name="Picture"/>
                    <pic:cNvPicPr>
                      <a:picLocks noChangeArrowheads="1" noChangeAspect="1"/>
                    </pic:cNvPicPr>
                  </pic:nvPicPr>
                  <pic:blipFill>
                    <a:blip r:embed="rId64"/>
                    <a:stretch>
                      <a:fillRect/>
                    </a:stretch>
                  </pic:blipFill>
                  <pic:spPr bwMode="auto">
                    <a:xfrm>
                      <a:off x="0" y="0"/>
                      <a:ext cx="5943600" cy="3962400"/>
                    </a:xfrm>
                    <a:prstGeom prst="rect">
                      <a:avLst/>
                    </a:prstGeom>
                    <a:noFill/>
                    <a:ln w="9525">
                      <a:noFill/>
                      <a:headEnd/>
                      <a:tailEnd/>
                    </a:ln>
                  </pic:spPr>
                </pic:pic>
              </a:graphicData>
            </a:graphic>
          </wp:inline>
        </w:drawing>
      </w:r>
    </w:p>
    <w:bookmarkEnd w:id="67"/>
    <w:bookmarkStart w:id="75" w:name="clustering-analysis"/>
    <w:p>
      <w:pPr>
        <w:pStyle w:val="Heading2"/>
      </w:pPr>
      <w:r>
        <w:rPr>
          <w:rStyle w:val="SectionNumber"/>
        </w:rPr>
        <w:t xml:space="preserve">2.5</w:t>
      </w:r>
      <w:r>
        <w:tab/>
      </w:r>
      <w:r>
        <w:t xml:space="preserve">Clustering analysis</w:t>
      </w:r>
    </w:p>
    <w:p>
      <w:pPr>
        <w:pStyle w:val="FirstParagraph"/>
      </w:pPr>
      <w:r>
        <w:drawing>
          <wp:inline>
            <wp:extent cx="5943600" cy="3962400"/>
            <wp:effectExtent b="0" l="0" r="0" t="0"/>
            <wp:docPr descr="" title="" id="69" name="Picture"/>
            <a:graphic>
              <a:graphicData uri="http://schemas.openxmlformats.org/drawingml/2006/picture">
                <pic:pic>
                  <pic:nvPicPr>
                    <pic:cNvPr descr="Report_files/figure-docx/pca%205-1.png" id="7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72" name="Picture"/>
            <a:graphic>
              <a:graphicData uri="http://schemas.openxmlformats.org/drawingml/2006/picture">
                <pic:pic>
                  <pic:nvPicPr>
                    <pic:cNvPr descr="Report_files/figure-docx/pca%205-2.png" id="73" name="Picture"/>
                    <pic:cNvPicPr>
                      <a:picLocks noChangeArrowheads="1" noChangeAspect="1"/>
                    </pic:cNvPicPr>
                  </pic:nvPicPr>
                  <pic:blipFill>
                    <a:blip r:embed="rId71"/>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p>
    <w:bookmarkStart w:id="74" w:name="Xa44c3947f788af25bad5c3b57e3f17680c81943"/>
    <w:p>
      <w:pPr>
        <w:pStyle w:val="Heading3"/>
      </w:pPr>
      <w:r>
        <w:rPr>
          <w:rStyle w:val="SectionNumber"/>
        </w:rPr>
        <w:t xml:space="preserve">2.5.1</w:t>
      </w:r>
      <w:r>
        <w:tab/>
      </w:r>
      <w:r>
        <w:t xml:space="preserve">Summary of Hierarchical Clustering Analysis after PCA</w:t>
      </w:r>
    </w:p>
    <w:p>
      <w:pPr>
        <w:pStyle w:val="FirstParagraph"/>
      </w:pPr>
      <w:r>
        <w:rPr>
          <w:bCs/>
          <w:b/>
        </w:rPr>
        <w:t xml:space="preserve">Objective:</w:t>
      </w:r>
      <w:r>
        <w:t xml:space="preserve"> </w:t>
      </w:r>
      <w:r>
        <w:t xml:space="preserve">To group variables into clusters based on their similarity after performing Principal Component Analysis (PCA).</w:t>
      </w:r>
    </w:p>
    <w:p>
      <w:pPr>
        <w:pStyle w:val="BodyText"/>
      </w:pPr>
      <w:r>
        <w:rPr>
          <w:bCs/>
          <w:b/>
        </w:rPr>
        <w:t xml:space="preserve">Variables Analyzed:</w:t>
      </w:r>
      <w:r>
        <w:t xml:space="preserve"> </w:t>
      </w:r>
      <w:r>
        <w:t xml:space="preserve">A variety of health and behavioral metrics, including scores on psychological assessments, types of insulin pumps used, and blood glucose measures.</w:t>
      </w:r>
    </w:p>
    <w:p>
      <w:pPr>
        <w:pStyle w:val="BodyText"/>
      </w:pPr>
      <w:r>
        <w:rPr>
          <w:bCs/>
          <w:b/>
        </w:rPr>
        <w:t xml:space="preserve">Clusters Identified:</w:t>
      </w:r>
      <w:r>
        <w:t xml:space="preserve"> </w:t>
      </w:r>
      <w:r>
        <w:t xml:space="preserve">Three distinct clusters were identified based on the hierarchical clustering.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 of each cluster by quantitative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8"/>
        <w:gridCol w:w="1080"/>
        <w:gridCol w:w="1670"/>
        <w:gridCol w:w="1336"/>
        <w:gridCol w:w="1382"/>
        <w:gridCol w:w="1080"/>
        <w:gridCol w:w="1080"/>
        <w:gridCol w:w="1080"/>
      </w:tblGrid>
      <w:tr>
        <w:trPr>
          <w:trHeight w:val="422" w:hRule="auto"/>
          <w:tblHeader/>
        </w:trPr>
        header 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Variable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v.test</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Mean in category</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Overall mean</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sd in category</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Overall sd</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Cluster</w:t>
            </w:r>
          </w:p>
        </w:tc>
      </w:tr>
      <w:tr>
        <w:trPr>
          <w:trHeight w:val="389" w:hRule="auto"/>
          <w:tblHeader/>
        </w:trPr>
        header 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r>
      <w:tr>
        <w:trPr>
          <w:trHeight w:val="389"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5.79</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74.11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11.53</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ddsfam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2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38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ddsemotionnel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Time_since_test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3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38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w:t>
            </w:r>
          </w:p>
        </w:tc>
      </w:tr>
      <w:tr>
        <w:trPr>
          <w:trHeight w:val="42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ddsemotionnel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ddslife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ddsfam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ddssoignant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2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8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62.24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416" w:hRule="auto"/>
        </w:trPr>
        body30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Time_since_test</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-4.58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12.75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24.34</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5.97</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13.06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    &lt;0.005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w:t>
            </w:r>
          </w:p>
        </w:tc>
      </w:tr>
      <w:tr>
        <w:trPr>
          <w:trHeight w:val="360" w:hRule="auto"/>
        </w:trPr>
        footer 1
        <w:tc>
          <w:tcPr>
            <w:gridSpan w:val="8"/>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30</w:t>
            </w:r>
          </w:p>
        </w:tc>
      </w:tr>
      <w:tr>
        <w:trPr>
          <w:trHeight w:val="360" w:hRule="auto"/>
        </w:trPr>
        footer 2
        <w:tc>
          <w:tcPr>
            <w:gridSpan w:val="8"/>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Source: Questionaire Baseline</w:t>
            </w:r>
          </w:p>
        </w:tc>
      </w:tr>
    </w:tbl>
    <w:bookmarkEnd w:id="74"/>
    <w:bookmarkEnd w:id="75"/>
    <w:bookmarkEnd w:id="76"/>
    <w:bookmarkStart w:id="117" w:name="X2c1303368246201462ca6513eeff6f473fc4f12"/>
    <w:p>
      <w:pPr>
        <w:pStyle w:val="Heading1"/>
      </w:pPr>
      <w:r>
        <w:rPr>
          <w:rStyle w:val="SectionNumber"/>
        </w:rPr>
        <w:t xml:space="preserve">3</w:t>
      </w:r>
      <w:r>
        <w:tab/>
      </w:r>
      <w:r>
        <w:t xml:space="preserve">Factor Analysis of Mixed Data (typepompe excluded)</w:t>
      </w:r>
    </w:p>
    <w:bookmarkStart w:id="89" w:name="dimensions-overview"/>
    <w:p>
      <w:pPr>
        <w:pStyle w:val="Heading2"/>
      </w:pPr>
      <w:r>
        <w:rPr>
          <w:rStyle w:val="SectionNumber"/>
        </w:rPr>
        <w:t xml:space="preserve">3.1</w:t>
      </w:r>
      <w:r>
        <w:tab/>
      </w:r>
      <w:r>
        <w:t xml:space="preserve">Dimensions overview</w:t>
      </w:r>
    </w:p>
    <w:p>
      <w:pPr>
        <w:pStyle w:val="FirstParagraph"/>
      </w:pPr>
      <w:r>
        <w:t xml:space="preserve">This plot represents the results of a Factor Analysis of Mixed Data (FAMD), which is a technique used to analyze datasets containing both categorical and continuous variables. The goal of FAMD is to reduce the dimensionality of the data while preserving as much variability as possible.</w:t>
      </w:r>
    </w:p>
    <w:p>
      <w:pPr>
        <w:pStyle w:val="BodyText"/>
      </w:pPr>
      <w:r>
        <w:drawing>
          <wp:inline>
            <wp:extent cx="5943600" cy="3962400"/>
            <wp:effectExtent b="0" l="0" r="0" t="0"/>
            <wp:docPr descr="" title="" id="78" name="Picture"/>
            <a:graphic>
              <a:graphicData uri="http://schemas.openxmlformats.org/drawingml/2006/picture">
                <pic:pic>
                  <pic:nvPicPr>
                    <pic:cNvPr descr="Report_files/figure-docx/pca%207-1.png" id="79" name="Picture"/>
                    <pic:cNvPicPr>
                      <a:picLocks noChangeArrowheads="1" noChangeAspect="1"/>
                    </pic:cNvPicPr>
                  </pic:nvPicPr>
                  <pic:blipFill>
                    <a:blip r:embed="rId77"/>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Practical Implications</w:t>
      </w:r>
    </w:p>
    <w:p>
      <w:pPr>
        <w:pStyle w:val="BodyText"/>
      </w:pPr>
      <w:r>
        <w:t xml:space="preserve">Based on the FAMD analysis:</w:t>
      </w:r>
    </w:p>
    <w:p>
      <w:pPr>
        <w:numPr>
          <w:ilvl w:val="0"/>
          <w:numId w:val="1014"/>
        </w:numPr>
      </w:pPr>
      <w:r>
        <w:rPr>
          <w:bCs/>
          <w:b/>
        </w:rPr>
        <w:t xml:space="preserve">Key Variables:</w:t>
      </w:r>
      <w:r>
        <w:t xml:space="preserve"> </w:t>
      </w:r>
      <w:r>
        <w:t xml:space="preserve">The most contributing variables to Dim1 (</w:t>
      </w:r>
      <w:r>
        <w:rPr>
          <w:rStyle w:val="VerbatimChar"/>
        </w:rPr>
        <w:t xml:space="preserve">ddsglobal</w:t>
      </w:r>
      <w:r>
        <w:t xml:space="preserve">,</w:t>
      </w:r>
      <w:r>
        <w:t xml:space="preserve"> </w:t>
      </w:r>
      <w:r>
        <w:rPr>
          <w:rStyle w:val="VerbatimChar"/>
        </w:rPr>
        <w:t xml:space="preserve">ddsemotionnel</w:t>
      </w:r>
      <w:r>
        <w:t xml:space="preserve">,</w:t>
      </w:r>
      <w:r>
        <w:t xml:space="preserve"> </w:t>
      </w:r>
      <w:r>
        <w:rPr>
          <w:rStyle w:val="VerbatimChar"/>
        </w:rPr>
        <w:t xml:space="preserve">phq9</w:t>
      </w:r>
      <w:r>
        <w:t xml:space="preserve">) and Dim2 (</w:t>
      </w:r>
      <w:r>
        <w:rPr>
          <w:rStyle w:val="VerbatimChar"/>
        </w:rPr>
        <w:t xml:space="preserve">Time_since_test</w:t>
      </w:r>
      <w:r>
        <w:t xml:space="preserve">,</w:t>
      </w:r>
      <w:r>
        <w:t xml:space="preserve"> </w:t>
      </w:r>
      <w:r>
        <w:rPr>
          <w:rStyle w:val="VerbatimChar"/>
        </w:rPr>
        <w:t xml:space="preserve">Duree</w:t>
      </w:r>
      <w:r>
        <w:t xml:space="preserve">) are crucial for understanding the primary sources of variability in the data.</w:t>
      </w:r>
    </w:p>
    <w:p>
      <w:pPr>
        <w:numPr>
          <w:ilvl w:val="0"/>
          <w:numId w:val="1014"/>
        </w:numPr>
      </w:pPr>
      <w:r>
        <w:rPr>
          <w:bCs/>
          <w:b/>
        </w:rPr>
        <w:t xml:space="preserve">Focus Areas:</w:t>
      </w:r>
      <w:r>
        <w:t xml:space="preserve"> </w:t>
      </w:r>
      <w:r>
        <w:t xml:space="preserve">Variables with high contributions should be the focus of further analysis and interpretation to understand their impact and relationships within the dataset.</w:t>
      </w:r>
    </w:p>
    <w:p>
      <w:pPr>
        <w:numPr>
          <w:ilvl w:val="0"/>
          <w:numId w:val="1014"/>
        </w:numPr>
      </w:pPr>
      <w:r>
        <w:rPr>
          <w:bCs/>
          <w:b/>
        </w:rPr>
        <w:t xml:space="preserve">Dimensionality Reduction:</w:t>
      </w:r>
      <w:r>
        <w:t xml:space="preserve"> </w:t>
      </w:r>
      <w:r>
        <w:t xml:space="preserve">Variables closer to the origin with lower contributions can be considered for removal or further investigation if dimensionality reduction is needed, simplifying the analysis without significant loss of information.</w:t>
      </w:r>
    </w:p>
    <w:p>
      <w:pPr>
        <w:pStyle w:val="FirstParagraph"/>
      </w:pPr>
      <w:r>
        <w:t xml:space="preserve">This analysis helps to identify the most influential variables driving variability in the dataset, guiding targeted and informed decision-making.</w:t>
      </w:r>
    </w:p>
    <w:p>
      <w:pPr>
        <w:pStyle w:val="BodyText"/>
      </w:pPr>
      <w:r>
        <w:drawing>
          <wp:inline>
            <wp:extent cx="5943600" cy="3962400"/>
            <wp:effectExtent b="0" l="0" r="0" t="0"/>
            <wp:docPr descr="" title="" id="81" name="Picture"/>
            <a:graphic>
              <a:graphicData uri="http://schemas.openxmlformats.org/drawingml/2006/picture">
                <pic:pic>
                  <pic:nvPicPr>
                    <pic:cNvPr descr="Report_files/figure-docx/pca%208-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84" name="Picture"/>
            <a:graphic>
              <a:graphicData uri="http://schemas.openxmlformats.org/drawingml/2006/picture">
                <pic:pic>
                  <pic:nvPicPr>
                    <pic:cNvPr descr="Report_files/figure-docx/pca%208-2.png" id="85" name="Picture"/>
                    <pic:cNvPicPr>
                      <a:picLocks noChangeArrowheads="1" noChangeAspect="1"/>
                    </pic:cNvPicPr>
                  </pic:nvPicPr>
                  <pic:blipFill>
                    <a:blip r:embed="rId83"/>
                    <a:stretch>
                      <a:fillRect/>
                    </a:stretch>
                  </pic:blipFill>
                  <pic:spPr bwMode="auto">
                    <a:xfrm>
                      <a:off x="0" y="0"/>
                      <a:ext cx="5943600" cy="3962400"/>
                    </a:xfrm>
                    <a:prstGeom prst="rect">
                      <a:avLst/>
                    </a:prstGeom>
                    <a:noFill/>
                    <a:ln w="9525">
                      <a:noFill/>
                      <a:headEnd/>
                      <a:tailEnd/>
                    </a:ln>
                  </pic:spPr>
                </pic:pic>
              </a:graphicData>
            </a:graphic>
          </wp:inline>
        </w:drawing>
      </w:r>
      <w:r>
        <w:drawing>
          <wp:inline>
            <wp:extent cx="5943600" cy="3962400"/>
            <wp:effectExtent b="0" l="0" r="0" t="0"/>
            <wp:docPr descr="" title="" id="87" name="Picture"/>
            <a:graphic>
              <a:graphicData uri="http://schemas.openxmlformats.org/drawingml/2006/picture">
                <pic:pic>
                  <pic:nvPicPr>
                    <pic:cNvPr descr="Report_files/figure-docx/pca%208-3.png" id="88" name="Picture"/>
                    <pic:cNvPicPr>
                      <a:picLocks noChangeArrowheads="1" noChangeAspect="1"/>
                    </pic:cNvPicPr>
                  </pic:nvPicPr>
                  <pic:blipFill>
                    <a:blip r:embed="rId86"/>
                    <a:stretch>
                      <a:fillRect/>
                    </a:stretch>
                  </pic:blipFill>
                  <pic:spPr bwMode="auto">
                    <a:xfrm>
                      <a:off x="0" y="0"/>
                      <a:ext cx="5943600" cy="3962400"/>
                    </a:xfrm>
                    <a:prstGeom prst="rect">
                      <a:avLst/>
                    </a:prstGeom>
                    <a:noFill/>
                    <a:ln w="9525">
                      <a:noFill/>
                      <a:headEnd/>
                      <a:tailEnd/>
                    </a:ln>
                  </pic:spPr>
                </pic:pic>
              </a:graphicData>
            </a:graphic>
          </wp:inline>
        </w:drawing>
      </w:r>
    </w:p>
    <w:bookmarkEnd w:id="89"/>
    <w:bookmarkStart w:id="102" w:name="quantitative-variables-visualization"/>
    <w:p>
      <w:pPr>
        <w:pStyle w:val="Heading2"/>
      </w:pPr>
      <w:r>
        <w:rPr>
          <w:rStyle w:val="SectionNumber"/>
        </w:rPr>
        <w:t xml:space="preserve">3.2</w:t>
      </w:r>
      <w:r>
        <w:tab/>
      </w:r>
      <w:r>
        <w:t xml:space="preserve">Quantitative variables visualization</w:t>
      </w:r>
    </w:p>
    <w:p>
      <w:pPr>
        <w:pStyle w:val="FirstParagraph"/>
      </w:pPr>
      <w:r>
        <w:rPr>
          <w:bCs/>
          <w:b/>
        </w:rPr>
        <w:t xml:space="preserve">Quantitative Variables - FAMD (Figure 3.5)</w:t>
      </w:r>
      <w:r>
        <w:t xml:space="preserve"> </w:t>
      </w:r>
      <w:r>
        <w:t xml:space="preserve">The plot shows the distribution of quantitative variables across the first two principal components (Dim1 and Dim2). Variables such as</w:t>
      </w:r>
      <w:r>
        <w:t xml:space="preserve"> </w:t>
      </w:r>
      <w:r>
        <w:rPr>
          <w:rStyle w:val="VerbatimChar"/>
        </w:rPr>
        <w:t xml:space="preserve">ddsemotionnel</w:t>
      </w:r>
      <w:r>
        <w:t xml:space="preserve">,</w:t>
      </w:r>
      <w:r>
        <w:t xml:space="preserve"> </w:t>
      </w:r>
      <w:r>
        <w:rPr>
          <w:rStyle w:val="VerbatimChar"/>
        </w:rPr>
        <w:t xml:space="preserve">ddsglobal</w:t>
      </w:r>
      <w:r>
        <w:t xml:space="preserve">, and</w:t>
      </w:r>
      <w:r>
        <w:t xml:space="preserve"> </w:t>
      </w:r>
      <w:r>
        <w:rPr>
          <w:rStyle w:val="VerbatimChar"/>
        </w:rPr>
        <w:t xml:space="preserve">ddslife</w:t>
      </w:r>
      <w:r>
        <w:t xml:space="preserve"> </w:t>
      </w:r>
      <w:r>
        <w:t xml:space="preserve">have strong contributions to Dim1, as indicated by their long vectors along the horizontal axis. Variables positioned closer to the origin have lower contributions to both dimensions, indicating less influence on the variability captured by these components.</w:t>
      </w:r>
    </w:p>
    <w:p>
      <w:pPr>
        <w:pStyle w:val="BodyText"/>
      </w:pPr>
      <w:r>
        <w:rPr>
          <w:bCs/>
          <w:b/>
        </w:rPr>
        <w:t xml:space="preserve">Key Observations:</w:t>
      </w:r>
    </w:p>
    <w:p>
      <w:pPr>
        <w:numPr>
          <w:ilvl w:val="0"/>
          <w:numId w:val="1015"/>
        </w:numPr>
      </w:pPr>
      <w:r>
        <w:rPr>
          <w:bCs/>
          <w:b/>
        </w:rPr>
        <w:t xml:space="preserve">Dim1 Contributions:</w:t>
      </w:r>
      <w:r>
        <w:t xml:space="preserve"> </w:t>
      </w:r>
      <w:r>
        <w:t xml:space="preserve">Variables like</w:t>
      </w:r>
      <w:r>
        <w:t xml:space="preserve"> </w:t>
      </w:r>
      <w:r>
        <w:rPr>
          <w:rStyle w:val="VerbatimChar"/>
        </w:rPr>
        <w:t xml:space="preserve">ddsemotionnel</w:t>
      </w:r>
      <w:r>
        <w:t xml:space="preserve">,</w:t>
      </w:r>
      <w:r>
        <w:t xml:space="preserve"> </w:t>
      </w:r>
      <w:r>
        <w:rPr>
          <w:rStyle w:val="VerbatimChar"/>
        </w:rPr>
        <w:t xml:space="preserve">ddsglobal</w:t>
      </w:r>
      <w:r>
        <w:t xml:space="preserve">, and</w:t>
      </w:r>
      <w:r>
        <w:t xml:space="preserve"> </w:t>
      </w:r>
      <w:r>
        <w:rPr>
          <w:rStyle w:val="VerbatimChar"/>
        </w:rPr>
        <w:t xml:space="preserve">ddslife</w:t>
      </w:r>
      <w:r>
        <w:t xml:space="preserve"> </w:t>
      </w:r>
      <w:r>
        <w:t xml:space="preserve">contribute significantly to Dim1, indicating these variables are major drivers of the variance in the first principal component.</w:t>
      </w:r>
    </w:p>
    <w:p>
      <w:pPr>
        <w:numPr>
          <w:ilvl w:val="0"/>
          <w:numId w:val="1015"/>
        </w:numPr>
      </w:pPr>
      <w:r>
        <w:rPr>
          <w:bCs/>
          <w:b/>
        </w:rPr>
        <w:t xml:space="preserve">Variable Relationships:</w:t>
      </w:r>
      <w:r>
        <w:t xml:space="preserve"> </w:t>
      </w:r>
      <w:r>
        <w:t xml:space="preserve">Variables pointing in similar directions are positively correlated. For example,</w:t>
      </w:r>
      <w:r>
        <w:t xml:space="preserve"> </w:t>
      </w:r>
      <w:r>
        <w:rPr>
          <w:rStyle w:val="VerbatimChar"/>
        </w:rPr>
        <w:t xml:space="preserve">ddsglobal</w:t>
      </w:r>
      <w:r>
        <w:t xml:space="preserve"> </w:t>
      </w:r>
      <w:r>
        <w:t xml:space="preserve">and</w:t>
      </w:r>
      <w:r>
        <w:t xml:space="preserve"> </w:t>
      </w:r>
      <w:r>
        <w:rPr>
          <w:rStyle w:val="VerbatimChar"/>
        </w:rPr>
        <w:t xml:space="preserve">ddsemotionnel</w:t>
      </w:r>
      <w:r>
        <w:t xml:space="preserve"> </w:t>
      </w:r>
      <w:r>
        <w:t xml:space="preserve">point in nearly the same direction, indicating a strong positive correlation.</w:t>
      </w:r>
    </w:p>
    <w:p>
      <w:pPr>
        <w:pStyle w:val="FirstParagraph"/>
      </w:pPr>
      <w:r>
        <w:drawing>
          <wp:inline>
            <wp:extent cx="5943600" cy="3962400"/>
            <wp:effectExtent b="0" l="0" r="0" t="0"/>
            <wp:docPr descr="" title="" id="91" name="Picture"/>
            <a:graphic>
              <a:graphicData uri="http://schemas.openxmlformats.org/drawingml/2006/picture">
                <pic:pic>
                  <pic:nvPicPr>
                    <pic:cNvPr descr="Report_files/figure-docx/pca%209-1.png" id="92" name="Picture"/>
                    <pic:cNvPicPr>
                      <a:picLocks noChangeArrowheads="1" noChangeAspect="1"/>
                    </pic:cNvPicPr>
                  </pic:nvPicPr>
                  <pic:blipFill>
                    <a:blip r:embed="rId90"/>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6"/>
        </w:numPr>
      </w:pPr>
      <w:r>
        <w:rPr>
          <w:bCs/>
          <w:b/>
        </w:rPr>
        <w:t xml:space="preserve">Health Metrics</w:t>
      </w:r>
      <w:r>
        <w:t xml:space="preserve">: Variables like</w:t>
      </w:r>
      <w:r>
        <w:t xml:space="preserve"> </w:t>
      </w:r>
      <w:r>
        <w:rPr>
          <w:rStyle w:val="VerbatimChar"/>
        </w:rPr>
        <w:t xml:space="preserve">hba1c</w:t>
      </w:r>
      <w:r>
        <w:t xml:space="preserve">,</w:t>
      </w:r>
      <w:r>
        <w:t xml:space="preserve"> </w:t>
      </w:r>
      <w:r>
        <w:rPr>
          <w:rStyle w:val="VerbatimChar"/>
        </w:rPr>
        <w:t xml:space="preserve">ddsemotionnel</w:t>
      </w:r>
      <w:r>
        <w:t xml:space="preserve">, and</w:t>
      </w:r>
      <w:r>
        <w:t xml:space="preserve"> </w:t>
      </w:r>
      <w:r>
        <w:rPr>
          <w:rStyle w:val="VerbatimChar"/>
        </w:rPr>
        <w:t xml:space="preserve">ddsglobal</w:t>
      </w:r>
      <w:r>
        <w:t xml:space="preserve"> </w:t>
      </w:r>
      <w:r>
        <w:t xml:space="preserve">have high contributions to Dim1.</w:t>
      </w:r>
    </w:p>
    <w:p>
      <w:pPr>
        <w:numPr>
          <w:ilvl w:val="0"/>
          <w:numId w:val="1016"/>
        </w:numPr>
      </w:pPr>
      <w:r>
        <w:rPr>
          <w:bCs/>
          <w:b/>
        </w:rPr>
        <w:t xml:space="preserve">Well-being and Psychological Measures</w:t>
      </w:r>
      <w:r>
        <w:t xml:space="preserve">: Variables such as</w:t>
      </w:r>
      <w:r>
        <w:t xml:space="preserve"> </w:t>
      </w:r>
      <w:r>
        <w:rPr>
          <w:rStyle w:val="VerbatimChar"/>
        </w:rPr>
        <w:t xml:space="preserve">phq9</w:t>
      </w:r>
      <w:r>
        <w:t xml:space="preserve">,</w:t>
      </w:r>
      <w:r>
        <w:t xml:space="preserve"> </w:t>
      </w:r>
      <w:r>
        <w:rPr>
          <w:rStyle w:val="VerbatimChar"/>
        </w:rPr>
        <w:t xml:space="preserve">ddsiflife</w:t>
      </w:r>
      <w:r>
        <w:t xml:space="preserve">,</w:t>
      </w:r>
      <w:r>
        <w:t xml:space="preserve"> </w:t>
      </w:r>
      <w:r>
        <w:rPr>
          <w:rStyle w:val="VerbatimChar"/>
        </w:rPr>
        <w:t xml:space="preserve">fried</w:t>
      </w:r>
      <w:r>
        <w:t xml:space="preserve"> </w:t>
      </w:r>
      <w:r>
        <w:t xml:space="preserve">are grouped closely, indicating a relationship in this dimension.</w:t>
      </w:r>
    </w:p>
    <w:p>
      <w:pPr>
        <w:pStyle w:val="FirstParagraph"/>
      </w:pPr>
      <w:r>
        <w:drawing>
          <wp:inline>
            <wp:extent cx="5943600" cy="3962400"/>
            <wp:effectExtent b="0" l="0" r="0" t="0"/>
            <wp:docPr descr="" title="" id="94" name="Picture"/>
            <a:graphic>
              <a:graphicData uri="http://schemas.openxmlformats.org/drawingml/2006/picture">
                <pic:pic>
                  <pic:nvPicPr>
                    <pic:cNvPr descr="Report_files/figure-docx/pca%2010-1.png" id="95"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97" name="Picture"/>
            <a:graphic>
              <a:graphicData uri="http://schemas.openxmlformats.org/drawingml/2006/picture">
                <pic:pic>
                  <pic:nvPicPr>
                    <pic:cNvPr descr="Report_files/figure-docx/pca%2011-1.png" id="98" name="Picture"/>
                    <pic:cNvPicPr>
                      <a:picLocks noChangeArrowheads="1" noChangeAspect="1"/>
                    </pic:cNvPicPr>
                  </pic:nvPicPr>
                  <pic:blipFill>
                    <a:blip r:embed="rId96"/>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100" name="Picture"/>
            <a:graphic>
              <a:graphicData uri="http://schemas.openxmlformats.org/drawingml/2006/picture">
                <pic:pic>
                  <pic:nvPicPr>
                    <pic:cNvPr descr="Report_files/figure-docx/pca%2012-1.png" id="101" name="Picture"/>
                    <pic:cNvPicPr>
                      <a:picLocks noChangeArrowheads="1" noChangeAspect="1"/>
                    </pic:cNvPicPr>
                  </pic:nvPicPr>
                  <pic:blipFill>
                    <a:blip r:embed="rId99"/>
                    <a:stretch>
                      <a:fillRect/>
                    </a:stretch>
                  </pic:blipFill>
                  <pic:spPr bwMode="auto">
                    <a:xfrm>
                      <a:off x="0" y="0"/>
                      <a:ext cx="5943600" cy="3962400"/>
                    </a:xfrm>
                    <a:prstGeom prst="rect">
                      <a:avLst/>
                    </a:prstGeom>
                    <a:noFill/>
                    <a:ln w="9525">
                      <a:noFill/>
                      <a:headEnd/>
                      <a:tailEnd/>
                    </a:ln>
                  </pic:spPr>
                </pic:pic>
              </a:graphicData>
            </a:graphic>
          </wp:inline>
        </w:drawing>
      </w:r>
    </w:p>
    <w:bookmarkEnd w:id="102"/>
    <w:bookmarkStart w:id="112" w:name="quantitative-variables-visualization-1"/>
    <w:p>
      <w:pPr>
        <w:pStyle w:val="Heading2"/>
      </w:pPr>
      <w:r>
        <w:rPr>
          <w:rStyle w:val="SectionNumber"/>
        </w:rPr>
        <w:t xml:space="preserve">3.3</w:t>
      </w:r>
      <w:r>
        <w:tab/>
      </w:r>
      <w:r>
        <w:t xml:space="preserve">Quantitative variables visualization</w:t>
      </w:r>
    </w:p>
    <w:p>
      <w:pPr>
        <w:pStyle w:val="FirstParagraph"/>
      </w:pPr>
      <w:r>
        <w:rPr>
          <w:bCs/>
          <w:b/>
        </w:rPr>
        <w:t xml:space="preserve">Specific Observations</w:t>
      </w:r>
    </w:p>
    <w:p>
      <w:pPr>
        <w:numPr>
          <w:ilvl w:val="0"/>
          <w:numId w:val="1017"/>
        </w:numPr>
      </w:pPr>
      <w:r>
        <w:rPr>
          <w:bCs/>
          <w:b/>
        </w:rPr>
        <w:t xml:space="preserve">Gender and Device Type</w:t>
      </w:r>
      <w:r>
        <w:t xml:space="preserve">: Male and Female are well separated along Dim1, with different insulin pump types clustered around each gender.</w:t>
      </w:r>
    </w:p>
    <w:p>
      <w:pPr>
        <w:numPr>
          <w:ilvl w:val="0"/>
          <w:numId w:val="1017"/>
        </w:numPr>
      </w:pPr>
      <w:r>
        <w:rPr>
          <w:bCs/>
          <w:b/>
        </w:rPr>
        <w:t xml:space="preserve">Type I Diabetes</w:t>
      </w:r>
      <w:r>
        <w:t xml:space="preserve">: The variable</w:t>
      </w:r>
      <w:r>
        <w:t xml:space="preserve"> </w:t>
      </w:r>
      <w:r>
        <w:rPr>
          <w:rStyle w:val="VerbatimChar"/>
        </w:rPr>
        <w:t xml:space="preserve">Type I</w:t>
      </w:r>
      <w:r>
        <w:t xml:space="preserve"> </w:t>
      </w:r>
      <w:r>
        <w:t xml:space="preserve">is close to the center, suggesting it does not vary significantly along these dimensions.</w:t>
      </w:r>
    </w:p>
    <w:p>
      <w:pPr>
        <w:numPr>
          <w:ilvl w:val="0"/>
          <w:numId w:val="1017"/>
        </w:numPr>
      </w:pPr>
      <w:r>
        <w:rPr>
          <w:bCs/>
          <w:b/>
        </w:rPr>
        <w:t xml:space="preserve">Other</w:t>
      </w:r>
      <w:r>
        <w:t xml:space="preserve">: This variable is positioned distinctly, indicating a specific influence on Dim2.</w:t>
      </w:r>
    </w:p>
    <w:p>
      <w:pPr>
        <w:pStyle w:val="FirstParagraph"/>
      </w:pPr>
      <w:r>
        <w:drawing>
          <wp:inline>
            <wp:extent cx="5943600" cy="3962400"/>
            <wp:effectExtent b="0" l="0" r="0" t="0"/>
            <wp:docPr descr="" title="" id="104" name="Picture"/>
            <a:graphic>
              <a:graphicData uri="http://schemas.openxmlformats.org/drawingml/2006/picture">
                <pic:pic>
                  <pic:nvPicPr>
                    <pic:cNvPr descr="Report_files/figure-docx/pca%2013-1.png" id="105" name="Picture"/>
                    <pic:cNvPicPr>
                      <a:picLocks noChangeArrowheads="1" noChangeAspect="1"/>
                    </pic:cNvPicPr>
                  </pic:nvPicPr>
                  <pic:blipFill>
                    <a:blip r:embed="rId10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8"/>
        </w:numPr>
      </w:pPr>
      <w:r>
        <w:rPr>
          <w:bCs/>
          <w:b/>
        </w:rPr>
        <w:t xml:space="preserve">Gender Distribution</w:t>
      </w:r>
      <w:r>
        <w:t xml:space="preserve">:</w:t>
      </w:r>
      <w:r>
        <w:t xml:space="preserve"> </w:t>
      </w:r>
      <w:r>
        <w:rPr>
          <w:rStyle w:val="VerbatimChar"/>
        </w:rPr>
        <w:t xml:space="preserve">Male</w:t>
      </w:r>
      <w:r>
        <w:t xml:space="preserve"> </w:t>
      </w:r>
      <w:r>
        <w:t xml:space="preserve">and</w:t>
      </w:r>
      <w:r>
        <w:t xml:space="preserve"> </w:t>
      </w:r>
      <w:r>
        <w:rPr>
          <w:rStyle w:val="VerbatimChar"/>
        </w:rPr>
        <w:t xml:space="preserve">Female</w:t>
      </w:r>
      <w:r>
        <w:t xml:space="preserve"> </w:t>
      </w:r>
      <w:r>
        <w:t xml:space="preserve">are separated along Dim1, showing distinct patterns.</w:t>
      </w:r>
    </w:p>
    <w:p>
      <w:pPr>
        <w:numPr>
          <w:ilvl w:val="0"/>
          <w:numId w:val="1018"/>
        </w:numPr>
      </w:pPr>
      <w:r>
        <w:rPr>
          <w:bCs/>
          <w:b/>
        </w:rPr>
        <w:t xml:space="preserve">Open Systems</w:t>
      </w:r>
      <w:r>
        <w:t xml:space="preserve">: The</w:t>
      </w:r>
      <w:r>
        <w:t xml:space="preserve"> </w:t>
      </w:r>
      <w:r>
        <w:rPr>
          <w:rStyle w:val="VerbatimChar"/>
        </w:rPr>
        <w:t xml:space="preserve">Open</w:t>
      </w:r>
      <w:r>
        <w:t xml:space="preserve"> </w:t>
      </w:r>
      <w:r>
        <w:t xml:space="preserve">variable has a moderate contribution, positioned between other pump types.</w:t>
      </w:r>
    </w:p>
    <w:p>
      <w:pPr>
        <w:pStyle w:val="FirstParagraph"/>
      </w:pPr>
      <w:r>
        <w:drawing>
          <wp:inline>
            <wp:extent cx="5943600" cy="3962400"/>
            <wp:effectExtent b="0" l="0" r="0" t="0"/>
            <wp:docPr descr="" title="" id="107" name="Picture"/>
            <a:graphic>
              <a:graphicData uri="http://schemas.openxmlformats.org/drawingml/2006/picture">
                <pic:pic>
                  <pic:nvPicPr>
                    <pic:cNvPr descr="Report_files/figure-docx/pca%2014-1.png" id="108" name="Picture"/>
                    <pic:cNvPicPr>
                      <a:picLocks noChangeArrowheads="1" noChangeAspect="1"/>
                    </pic:cNvPicPr>
                  </pic:nvPicPr>
                  <pic:blipFill>
                    <a:blip r:embed="rId106"/>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Cs/>
          <w:b/>
        </w:rPr>
        <w:t xml:space="preserve">Specific Observations</w:t>
      </w:r>
    </w:p>
    <w:p>
      <w:pPr>
        <w:numPr>
          <w:ilvl w:val="0"/>
          <w:numId w:val="1019"/>
        </w:numPr>
      </w:pPr>
      <w:r>
        <w:rPr>
          <w:bCs/>
          <w:b/>
        </w:rPr>
        <w:t xml:space="preserve">Type I Diabetes</w:t>
      </w:r>
      <w:r>
        <w:t xml:space="preserve">: This variable remains central, suggesting consistent representation.</w:t>
      </w:r>
    </w:p>
    <w:p>
      <w:pPr>
        <w:numPr>
          <w:ilvl w:val="0"/>
          <w:numId w:val="1019"/>
        </w:numPr>
      </w:pPr>
      <w:r>
        <w:rPr>
          <w:bCs/>
          <w:b/>
        </w:rPr>
        <w:t xml:space="preserve">Other Insulin Pumps</w:t>
      </w:r>
      <w:r>
        <w:t xml:space="preserve">: The</w:t>
      </w:r>
      <w:r>
        <w:t xml:space="preserve"> </w:t>
      </w:r>
      <w:r>
        <w:rPr>
          <w:rStyle w:val="VerbatimChar"/>
        </w:rPr>
        <w:t xml:space="preserve">Other</w:t>
      </w:r>
      <w:r>
        <w:t xml:space="preserve"> </w:t>
      </w:r>
      <w:r>
        <w:t xml:space="preserve">category shows a specific pattern along Dim3.</w:t>
      </w:r>
    </w:p>
    <w:p>
      <w:pPr>
        <w:pStyle w:val="FirstParagraph"/>
      </w:pPr>
      <w:r>
        <w:drawing>
          <wp:inline>
            <wp:extent cx="5943600" cy="3962400"/>
            <wp:effectExtent b="0" l="0" r="0" t="0"/>
            <wp:docPr descr="" title="" id="110" name="Picture"/>
            <a:graphic>
              <a:graphicData uri="http://schemas.openxmlformats.org/drawingml/2006/picture">
                <pic:pic>
                  <pic:nvPicPr>
                    <pic:cNvPr descr="Report_files/figure-docx/pca%2015-1.png" id="111" name="Picture"/>
                    <pic:cNvPicPr>
                      <a:picLocks noChangeArrowheads="1" noChangeAspect="1"/>
                    </pic:cNvPicPr>
                  </pic:nvPicPr>
                  <pic:blipFill>
                    <a:blip r:embed="rId109"/>
                    <a:stretch>
                      <a:fillRect/>
                    </a:stretch>
                  </pic:blipFill>
                  <pic:spPr bwMode="auto">
                    <a:xfrm>
                      <a:off x="0" y="0"/>
                      <a:ext cx="5943600" cy="3962400"/>
                    </a:xfrm>
                    <a:prstGeom prst="rect">
                      <a:avLst/>
                    </a:prstGeom>
                    <a:noFill/>
                    <a:ln w="9525">
                      <a:noFill/>
                      <a:headEnd/>
                      <a:tailEnd/>
                    </a:ln>
                  </pic:spPr>
                </pic:pic>
              </a:graphicData>
            </a:graphic>
          </wp:inline>
        </w:drawing>
      </w:r>
    </w:p>
    <w:bookmarkEnd w:id="112"/>
    <w:bookmarkStart w:id="116" w:name="plotting-individuals"/>
    <w:p>
      <w:pPr>
        <w:pStyle w:val="Heading2"/>
      </w:pPr>
      <w:r>
        <w:rPr>
          <w:rStyle w:val="SectionNumber"/>
        </w:rPr>
        <w:t xml:space="preserve">3.4</w:t>
      </w:r>
      <w:r>
        <w:tab/>
      </w:r>
      <w:r>
        <w:t xml:space="preserve">Plotting individuals</w:t>
      </w:r>
    </w:p>
    <w:p>
      <w:pPr>
        <w:pStyle w:val="FirstParagraph"/>
      </w:pPr>
      <w:r>
        <w:drawing>
          <wp:inline>
            <wp:extent cx="5943600" cy="3962400"/>
            <wp:effectExtent b="0" l="0" r="0" t="0"/>
            <wp:docPr descr="" title="" id="114" name="Picture"/>
            <a:graphic>
              <a:graphicData uri="http://schemas.openxmlformats.org/drawingml/2006/picture">
                <pic:pic>
                  <pic:nvPicPr>
                    <pic:cNvPr descr="Report_files/figure-docx/pca%2016-1.png" id="115" name="Picture"/>
                    <pic:cNvPicPr>
                      <a:picLocks noChangeArrowheads="1" noChangeAspect="1"/>
                    </pic:cNvPicPr>
                  </pic:nvPicPr>
                  <pic:blipFill>
                    <a:blip r:embed="rId113"/>
                    <a:stretch>
                      <a:fillRect/>
                    </a:stretch>
                  </pic:blipFill>
                  <pic:spPr bwMode="auto">
                    <a:xfrm>
                      <a:off x="0" y="0"/>
                      <a:ext cx="5943600" cy="3962400"/>
                    </a:xfrm>
                    <a:prstGeom prst="rect">
                      <a:avLst/>
                    </a:prstGeom>
                    <a:noFill/>
                    <a:ln w="9525">
                      <a:noFill/>
                      <a:headEnd/>
                      <a:tailEnd/>
                    </a:ln>
                  </pic:spPr>
                </pic:pic>
              </a:graphicData>
            </a:graphic>
          </wp:inline>
        </w:drawing>
      </w:r>
    </w:p>
    <w:bookmarkEnd w:id="116"/>
    <w:bookmarkEnd w:id="117"/>
    <w:bookmarkStart w:id="126" w:name="X1d9030b702efeaa36a59aea3145d6e927de8511"/>
    <w:p>
      <w:pPr>
        <w:pStyle w:val="Heading1"/>
      </w:pPr>
      <w:r>
        <w:rPr>
          <w:rStyle w:val="SectionNumber"/>
        </w:rPr>
        <w:t xml:space="preserve">4</w:t>
      </w:r>
      <w:r>
        <w:tab/>
      </w:r>
      <w:r>
        <w:t xml:space="preserve">Building Statistical Model to fit our data</w:t>
      </w:r>
    </w:p>
    <w:bookmarkStart w:id="121" w:name="Xb9c7e3acbe4823e43c63d523b9a0b93582f01c7"/>
    <w:p>
      <w:pPr>
        <w:pStyle w:val="Heading2"/>
      </w:pPr>
      <w:r>
        <w:rPr>
          <w:rStyle w:val="SectionNumber"/>
        </w:rPr>
        <w:t xml:space="preserve">4.1</w:t>
      </w:r>
      <w:r>
        <w:tab/>
      </w:r>
      <w:r>
        <w:t xml:space="preserve">Binomial Logistic Regression Results (for some variables, boucle as dependent variabele)</w:t>
      </w:r>
    </w:p>
    <w:p>
      <w:pPr>
        <w:pStyle w:val="FirstParagraph"/>
      </w:pPr>
      <w:r>
        <w:rPr>
          <w:bCs/>
          <w:b/>
        </w:rPr>
        <w:t xml:space="preserve">Interpretation of Coefficients</w:t>
      </w:r>
    </w:p>
    <w:p>
      <w:pPr>
        <w:pStyle w:val="BodyText"/>
      </w:pPr>
      <w:r>
        <w:t xml:space="preserve">The plot displays the log odds ratios (log(OR)) for different variables (hba1c, tir, and hypo) in relation to the type of insulin pump used. Here is a practical summary of the results:</w:t>
      </w:r>
    </w:p>
    <w:p>
      <w:pPr>
        <w:pStyle w:val="BodyText"/>
      </w:pPr>
      <w:r>
        <w:rPr>
          <w:bCs/>
          <w:b/>
        </w:rPr>
        <w:t xml:space="preserve">hba1c</w:t>
      </w:r>
    </w:p>
    <w:p>
      <w:pPr>
        <w:numPr>
          <w:ilvl w:val="0"/>
          <w:numId w:val="1020"/>
        </w:numPr>
        <w:pStyle w:val="Compact"/>
      </w:pPr>
      <w:r>
        <w:t xml:space="preserve">The log(OR) is close to zero with a wide confidence interval that crosses zero, indicating no significant association between hba1c and the type of insulin pump used.</w:t>
      </w:r>
    </w:p>
    <w:p>
      <w:pPr>
        <w:pStyle w:val="FirstParagraph"/>
      </w:pPr>
      <w:r>
        <w:rPr>
          <w:bCs/>
          <w:b/>
        </w:rPr>
        <w:t xml:space="preserve">tir</w:t>
      </w:r>
    </w:p>
    <w:p>
      <w:pPr>
        <w:numPr>
          <w:ilvl w:val="0"/>
          <w:numId w:val="1021"/>
        </w:numPr>
        <w:pStyle w:val="Compact"/>
      </w:pPr>
      <w:r>
        <w:t xml:space="preserve">The log(OR) is negative with a narrow confidence interval, suggesting that higher tir values are associated with lower odds of using a specific insulin pump compared to the reference category. The confidence interval not crossing zero indicates that this result is statistically significant.</w:t>
      </w:r>
    </w:p>
    <w:p>
      <w:pPr>
        <w:pStyle w:val="FirstParagraph"/>
      </w:pPr>
      <w:r>
        <w:rPr>
          <w:bCs/>
          <w:b/>
        </w:rPr>
        <w:t xml:space="preserve">hypo</w:t>
      </w:r>
    </w:p>
    <w:p>
      <w:pPr>
        <w:numPr>
          <w:ilvl w:val="0"/>
          <w:numId w:val="1022"/>
        </w:numPr>
        <w:pStyle w:val="Compact"/>
      </w:pPr>
      <w:r>
        <w:t xml:space="preserve">The log(OR) is close to zero with a wide confidence interval that crosses zero, indicating no significant association between hypo and the type of insulin pump used.</w:t>
      </w:r>
    </w:p>
    <w:p>
      <w:pPr>
        <w:pStyle w:val="FirstParagraph"/>
      </w:pPr>
      <w:r>
        <w:rPr>
          <w:bCs/>
          <w:b/>
        </w:rPr>
        <w:t xml:space="preserve">Practical Implications</w:t>
      </w:r>
    </w:p>
    <w:p>
      <w:pPr>
        <w:pStyle w:val="BodyText"/>
      </w:pPr>
      <w:r>
        <w:t xml:space="preserve">The results suggest that there is statistically significant associations tir with the type of insulin pump used when compared to the reference category. This implies that other variables may not be strong predictors of insulin pump type choice in this dataset.</w:t>
      </w:r>
    </w:p>
    <w:p>
      <w:pPr>
        <w:pStyle w:val="BodyText"/>
      </w:pPr>
      <w:r>
        <w:rPr>
          <w:bCs/>
          <w:b/>
        </w:rPr>
        <w:t xml:space="preserve">Notes</w:t>
      </w:r>
    </w:p>
    <w:p>
      <w:pPr>
        <w:numPr>
          <w:ilvl w:val="0"/>
          <w:numId w:val="1023"/>
        </w:numPr>
      </w:pPr>
      <w:r>
        <w:rPr>
          <w:bCs/>
          <w:b/>
        </w:rPr>
        <w:t xml:space="preserve">Statistical Significance</w:t>
      </w:r>
      <w:r>
        <w:t xml:space="preserve">: The p-values for all coefficients indicate that none of the associations are statistically significant at the 0.05 level.</w:t>
      </w:r>
    </w:p>
    <w:p>
      <w:pPr>
        <w:numPr>
          <w:ilvl w:val="0"/>
          <w:numId w:val="1023"/>
        </w:numPr>
      </w:pPr>
      <w:r>
        <w:rPr>
          <w:bCs/>
          <w:b/>
        </w:rPr>
        <w:t xml:space="preserve">Confidence Intervals</w:t>
      </w:r>
      <w:r>
        <w:t xml:space="preserve">: Wide confidence intervals suggest variability in the estimates, and intervals crossing zero indicate non-significant effects.</w:t>
      </w:r>
    </w:p>
    <w:p>
      <w:pPr>
        <w:pStyle w:val="FirstParagraph"/>
      </w:pPr>
      <w:r>
        <w:t xml:space="preserve">Further research with a larger sample size or additional predictors may be necessary to identify significant predictors of insulin pump type.</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19" name="Picture"/>
            <a:graphic>
              <a:graphicData uri="http://schemas.openxmlformats.org/drawingml/2006/picture">
                <pic:pic>
                  <pic:nvPicPr>
                    <pic:cNvPr descr="Report_files/figure-docx/pca%2017-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Model Fit Statistics</w:t>
      </w:r>
    </w:p>
    <w:p>
      <w:pPr>
        <w:numPr>
          <w:ilvl w:val="0"/>
          <w:numId w:val="1024"/>
        </w:numPr>
      </w:pPr>
      <w:r>
        <w:t xml:space="preserve">Null deviance: 104.539 on 76 degrees of freedom</w:t>
      </w:r>
    </w:p>
    <w:p>
      <w:pPr>
        <w:numPr>
          <w:ilvl w:val="0"/>
          <w:numId w:val="1024"/>
        </w:numPr>
      </w:pPr>
      <w:r>
        <w:t xml:space="preserve">Residual deviance: 77.929 on 73 degrees of freedom</w:t>
      </w:r>
    </w:p>
    <w:p>
      <w:pPr>
        <w:numPr>
          <w:ilvl w:val="0"/>
          <w:numId w:val="1024"/>
        </w:numPr>
      </w:pPr>
      <w:r>
        <w:t xml:space="preserve">AIC: 85.929</w:t>
      </w:r>
    </w:p>
    <w:p>
      <w:pPr>
        <w:numPr>
          <w:ilvl w:val="0"/>
          <w:numId w:val="1024"/>
        </w:numPr>
      </w:pPr>
      <w:r>
        <w:t xml:space="preserve">Number of Fisher Scoring iterations: 5</w:t>
      </w:r>
    </w:p>
    <w:p>
      <w:pPr>
        <w:pStyle w:val="FirstParagraph"/>
      </w:pPr>
      <w:r>
        <w:rPr>
          <w:bCs/>
          <w:b/>
        </w:rPr>
        <w:t xml:space="preserve">Practical Conclusions</w:t>
      </w:r>
    </w:p>
    <w:p>
      <w:pPr>
        <w:numPr>
          <w:ilvl w:val="0"/>
          <w:numId w:val="1025"/>
        </w:numPr>
        <w:pStyle w:val="Compact"/>
      </w:pPr>
      <w:r>
        <w:rPr>
          <w:bCs/>
          <w:b/>
        </w:rPr>
        <w:t xml:space="preserve">Intercept</w:t>
      </w:r>
      <w:r>
        <w:t xml:space="preserve">:</w:t>
      </w:r>
    </w:p>
    <w:p>
      <w:pPr>
        <w:numPr>
          <w:ilvl w:val="1"/>
          <w:numId w:val="1026"/>
        </w:numPr>
        <w:pStyle w:val="Compact"/>
      </w:pPr>
      <w:r>
        <w:t xml:space="preserve">The intercept estimate is -15.00690 with a p-value of 0.0634. This indicates that when all predictors are at zero, the log odds of the outcome occurring is -15.00690. However, this is not statistically significant at the 0.05 level.</w:t>
      </w:r>
    </w:p>
    <w:p>
      <w:pPr>
        <w:numPr>
          <w:ilvl w:val="0"/>
          <w:numId w:val="1025"/>
        </w:numPr>
        <w:pStyle w:val="Compact"/>
      </w:pPr>
      <w:r>
        <w:rPr>
          <w:bCs/>
          <w:b/>
        </w:rPr>
        <w:t xml:space="preserve">hba1c</w:t>
      </w:r>
      <w:r>
        <w:t xml:space="preserve">:</w:t>
      </w:r>
    </w:p>
    <w:p>
      <w:pPr>
        <w:numPr>
          <w:ilvl w:val="1"/>
          <w:numId w:val="1027"/>
        </w:numPr>
        <w:pStyle w:val="Compact"/>
      </w:pPr>
      <w:r>
        <w:t xml:space="preserve">The estimate for</w:t>
      </w:r>
      <w:r>
        <w:t xml:space="preserve"> </w:t>
      </w:r>
      <w:r>
        <w:rPr>
          <w:rStyle w:val="VerbatimChar"/>
        </w:rPr>
        <w:t xml:space="preserve">hba1c</w:t>
      </w:r>
      <w:r>
        <w:t xml:space="preserve"> </w:t>
      </w:r>
      <w:r>
        <w:t xml:space="preserve">is 0.86449 with a standard error of 0.77200. The p-value is 0.2628, indicating that</w:t>
      </w:r>
      <w:r>
        <w:t xml:space="preserve"> </w:t>
      </w:r>
      <w:r>
        <w:rPr>
          <w:rStyle w:val="VerbatimChar"/>
        </w:rPr>
        <w:t xml:space="preserve">hba1c</w:t>
      </w:r>
      <w:r>
        <w:t xml:space="preserve"> </w:t>
      </w:r>
      <w:r>
        <w:t xml:space="preserve">is not a statistically significant predictor of the outcome in this model at the 0.05 level. Thus, there is insufficient evidence to suggest that</w:t>
      </w:r>
      <w:r>
        <w:t xml:space="preserve"> </w:t>
      </w:r>
      <w:r>
        <w:rPr>
          <w:rStyle w:val="VerbatimChar"/>
        </w:rPr>
        <w:t xml:space="preserve">hba1c</w:t>
      </w:r>
      <w:r>
        <w:t xml:space="preserve"> </w:t>
      </w:r>
      <w:r>
        <w:t xml:space="preserve">is associated with the outcome.</w:t>
      </w:r>
    </w:p>
    <w:p>
      <w:pPr>
        <w:numPr>
          <w:ilvl w:val="0"/>
          <w:numId w:val="1025"/>
        </w:numPr>
        <w:pStyle w:val="Compact"/>
      </w:pPr>
      <w:r>
        <w:rPr>
          <w:bCs/>
          <w:b/>
        </w:rPr>
        <w:t xml:space="preserve">tir</w:t>
      </w:r>
      <w:r>
        <w:t xml:space="preserve">:</w:t>
      </w:r>
    </w:p>
    <w:p>
      <w:pPr>
        <w:numPr>
          <w:ilvl w:val="1"/>
          <w:numId w:val="1028"/>
        </w:numPr>
        <w:pStyle w:val="Compact"/>
      </w:pPr>
      <w:r>
        <w:t xml:space="preserve">The estimate for</w:t>
      </w:r>
      <w:r>
        <w:t xml:space="preserve"> </w:t>
      </w:r>
      <w:r>
        <w:rPr>
          <w:rStyle w:val="VerbatimChar"/>
        </w:rPr>
        <w:t xml:space="preserve">tir</w:t>
      </w:r>
      <w:r>
        <w:t xml:space="preserve"> </w:t>
      </w:r>
      <w:r>
        <w:t xml:space="preserve">is 0.12997 with a standard error of 0.04300. The p-value is 0.0025, which is highly significant (p &lt; 0.01). This indicates that</w:t>
      </w:r>
      <w:r>
        <w:t xml:space="preserve"> </w:t>
      </w:r>
      <w:r>
        <w:rPr>
          <w:rStyle w:val="VerbatimChar"/>
        </w:rPr>
        <w:t xml:space="preserve">tir</w:t>
      </w:r>
      <w:r>
        <w:t xml:space="preserve"> </w:t>
      </w:r>
      <w:r>
        <w:t xml:space="preserve">is a statistically significant predictor of the outcome. For every unit increase in</w:t>
      </w:r>
      <w:r>
        <w:t xml:space="preserve"> </w:t>
      </w:r>
      <w:r>
        <w:rPr>
          <w:rStyle w:val="VerbatimChar"/>
        </w:rPr>
        <w:t xml:space="preserve">tir</w:t>
      </w:r>
      <w:r>
        <w:t xml:space="preserve">, the log odds of the outcome</w:t>
      </w:r>
      <w:r>
        <w:t xml:space="preserve"> </w:t>
      </w:r>
      <w:r>
        <w:t xml:space="preserve">“</w:t>
      </w:r>
      <w:r>
        <w:t xml:space="preserve">Semi-closed</w:t>
      </w:r>
      <w:r>
        <w:t xml:space="preserve">”</w:t>
      </w:r>
      <w:r>
        <w:t xml:space="preserve"> </w:t>
      </w:r>
      <w:r>
        <w:t xml:space="preserve">occurring increases by 0.12997.</w:t>
      </w:r>
    </w:p>
    <w:p>
      <w:pPr>
        <w:numPr>
          <w:ilvl w:val="0"/>
          <w:numId w:val="1025"/>
        </w:numPr>
        <w:pStyle w:val="Compact"/>
      </w:pPr>
      <w:r>
        <w:rPr>
          <w:bCs/>
          <w:b/>
        </w:rPr>
        <w:t xml:space="preserve">hypo</w:t>
      </w:r>
      <w:r>
        <w:t xml:space="preserve">:</w:t>
      </w:r>
    </w:p>
    <w:p>
      <w:pPr>
        <w:numPr>
          <w:ilvl w:val="1"/>
          <w:numId w:val="1029"/>
        </w:numPr>
        <w:pStyle w:val="Compact"/>
      </w:pPr>
      <w:r>
        <w:t xml:space="preserve">The estimate for</w:t>
      </w:r>
      <w:r>
        <w:t xml:space="preserve"> </w:t>
      </w:r>
      <w:r>
        <w:rPr>
          <w:rStyle w:val="VerbatimChar"/>
        </w:rPr>
        <w:t xml:space="preserve">hypo</w:t>
      </w:r>
      <w:r>
        <w:t xml:space="preserve"> </w:t>
      </w:r>
      <w:r>
        <w:t xml:space="preserve">is -0.08698 with a standard error of 0.24233. The p-value is 0.7196, indicating that</w:t>
      </w:r>
      <w:r>
        <w:t xml:space="preserve"> </w:t>
      </w:r>
      <w:r>
        <w:rPr>
          <w:rStyle w:val="VerbatimChar"/>
        </w:rPr>
        <w:t xml:space="preserve">hypo</w:t>
      </w:r>
      <w:r>
        <w:t xml:space="preserve"> </w:t>
      </w:r>
      <w:r>
        <w:t xml:space="preserve">is not a statistically significant predictor of the outcome in this model. There is no sufficient evidence to suggest that</w:t>
      </w:r>
      <w:r>
        <w:t xml:space="preserve"> </w:t>
      </w:r>
      <w:r>
        <w:rPr>
          <w:rStyle w:val="VerbatimChar"/>
        </w:rPr>
        <w:t xml:space="preserve">hypo</w:t>
      </w:r>
      <w:r>
        <w:t xml:space="preserve"> </w:t>
      </w:r>
      <w:r>
        <w:t xml:space="preserve">is associated with the outcome.</w:t>
      </w:r>
    </w:p>
    <w:p>
      <w:pPr>
        <w:pStyle w:val="FirstParagraph"/>
      </w:pPr>
      <w:r>
        <w:rPr>
          <w:bCs/>
          <w:b/>
        </w:rPr>
        <w:t xml:space="preserve">Interpretation</w:t>
      </w:r>
    </w:p>
    <w:p>
      <w:pPr>
        <w:numPr>
          <w:ilvl w:val="0"/>
          <w:numId w:val="1030"/>
        </w:numPr>
      </w:pPr>
      <w:r>
        <w:t xml:space="preserve">The model suggests that among the predictors, only</w:t>
      </w:r>
      <w:r>
        <w:t xml:space="preserve"> </w:t>
      </w:r>
      <w:r>
        <w:rPr>
          <w:rStyle w:val="VerbatimChar"/>
        </w:rPr>
        <w:t xml:space="preserve">tir</w:t>
      </w:r>
      <w:r>
        <w:t xml:space="preserve"> </w:t>
      </w:r>
      <w:r>
        <w:t xml:space="preserve">is a significant predictor of the outcome. This means that as</w:t>
      </w:r>
      <w:r>
        <w:t xml:space="preserve"> </w:t>
      </w:r>
      <w:r>
        <w:rPr>
          <w:rStyle w:val="VerbatimChar"/>
        </w:rPr>
        <w:t xml:space="preserve">tir</w:t>
      </w:r>
      <w:r>
        <w:t xml:space="preserve"> </w:t>
      </w:r>
      <w:r>
        <w:t xml:space="preserve">increases, the likelihood of the</w:t>
      </w:r>
      <w:r>
        <w:t xml:space="preserve"> </w:t>
      </w:r>
      <w:r>
        <w:t xml:space="preserve">“</w:t>
      </w:r>
      <w:r>
        <w:t xml:space="preserve">Semi-closed</w:t>
      </w:r>
      <w:r>
        <w:t xml:space="preserve">”</w:t>
      </w:r>
      <w:r>
        <w:t xml:space="preserve"> </w:t>
      </w:r>
      <w:r>
        <w:t xml:space="preserve">outcome occurring increases.</w:t>
      </w:r>
    </w:p>
    <w:p>
      <w:pPr>
        <w:numPr>
          <w:ilvl w:val="0"/>
          <w:numId w:val="1030"/>
        </w:numPr>
      </w:pPr>
      <w:r>
        <w:t xml:space="preserve">The non-significance of</w:t>
      </w:r>
      <w:r>
        <w:t xml:space="preserve"> </w:t>
      </w:r>
      <w:r>
        <w:rPr>
          <w:rStyle w:val="VerbatimChar"/>
        </w:rPr>
        <w:t xml:space="preserve">hba1c</w:t>
      </w:r>
      <w:r>
        <w:t xml:space="preserve"> </w:t>
      </w:r>
      <w:r>
        <w:t xml:space="preserve">and</w:t>
      </w:r>
      <w:r>
        <w:t xml:space="preserve"> </w:t>
      </w:r>
      <w:r>
        <w:rPr>
          <w:rStyle w:val="VerbatimChar"/>
        </w:rPr>
        <w:t xml:space="preserve">hypo</w:t>
      </w:r>
      <w:r>
        <w:t xml:space="preserve"> </w:t>
      </w:r>
      <w:r>
        <w:t xml:space="preserve">indicates that these variables do not have a statistically significant effect on the outcome in this dataset.</w:t>
      </w:r>
    </w:p>
    <w:p>
      <w:pPr>
        <w:numPr>
          <w:ilvl w:val="0"/>
          <w:numId w:val="1030"/>
        </w:numPr>
      </w:pPr>
      <w:r>
        <w:t xml:space="preserve">The model fit statistics (deviance and AIC) provide a measure of how well the model fits the data, with lower values indicating a better fit.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1080"/>
        <w:gridCol w:w="1080"/>
        <w:gridCol w:w="1080"/>
        <w:gridCol w:w="1080"/>
      </w:tblGrid>
      <w:tr>
        <w:trPr>
          <w:trHeight w:val="426" w:hRule="auto"/>
          <w:tblHeader/>
        </w:trPr>
        header1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Term</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Estimate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Std. Error</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 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Pr(&gt;|z|)</w:t>
            </w:r>
          </w:p>
        </w:tc>
      </w:tr>
      <w:tr>
        <w:trPr>
          <w:trHeight w:val="389" w:hRule="auto"/>
          <w:tblHeader/>
        </w:trPr>
        header2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r>
      <w:tr>
        <w:trPr>
          <w:trHeight w:val="425" w:hRule="auto"/>
        </w:trPr>
        body1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(Intercept)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-15.01</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8.08</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-1.86</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0.0634</w:t>
            </w:r>
          </w:p>
        </w:tc>
      </w:tr>
      <w:tr>
        <w:trPr>
          <w:trHeight w:val="38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0.2628</w:t>
            </w:r>
          </w:p>
        </w:tc>
      </w:tr>
      <w:tr>
        <w:trPr>
          <w:trHeight w:val="3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0.0025</w:t>
            </w:r>
          </w:p>
        </w:tc>
      </w:tr>
      <w:tr>
        <w:trPr>
          <w:trHeight w:val="422" w:hRule="auto"/>
        </w:trPr>
        body4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-0.09</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0.24</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-0.36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0.7196</w:t>
            </w:r>
          </w:p>
        </w:tc>
      </w:tr>
      <w:tr>
        <w:trPr>
          <w:trHeight w:val="360" w:hRule="auto"/>
        </w:trPr>
        footer1
        <w:tc>
          <w:tcPr>
            <w:gridSpan w:val="5"/>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4</w:t>
            </w:r>
          </w:p>
        </w:tc>
      </w:tr>
    </w:tbl>
    <w:bookmarkEnd w:id="121"/>
    <w:bookmarkStart w:id="125" w:name="Xb9a81c5692163e92f1681ee5b238ed3bbae21c2"/>
    <w:p>
      <w:pPr>
        <w:pStyle w:val="Heading2"/>
      </w:pPr>
      <w:r>
        <w:rPr>
          <w:rStyle w:val="SectionNumber"/>
        </w:rPr>
        <w:t xml:space="preserve">4.2</w:t>
      </w:r>
      <w:r>
        <w:tab/>
      </w:r>
      <w:r>
        <w:t xml:space="preserve">Binomial Logistic Regression Results (for most of variables, boucle as dependent variabele)</w:t>
      </w:r>
    </w:p>
    <w:p>
      <w:pPr>
        <w:pStyle w:val="FirstParagraph"/>
      </w:pPr>
      <w:r>
        <w:rPr>
          <w:bCs/>
          <w:b/>
        </w:rPr>
        <w:t xml:space="preserve">Interpretation:</w:t>
      </w:r>
    </w:p>
    <w:p>
      <w:pPr>
        <w:numPr>
          <w:ilvl w:val="0"/>
          <w:numId w:val="1031"/>
        </w:numPr>
      </w:pPr>
      <w:r>
        <w:t xml:space="preserve">Several predictors are significant, indicating they have a meaningful impact on the outcome variable.</w:t>
      </w:r>
    </w:p>
    <w:p>
      <w:pPr>
        <w:numPr>
          <w:ilvl w:val="0"/>
          <w:numId w:val="1031"/>
        </w:numPr>
      </w:pPr>
      <w:r>
        <w:t xml:space="preserve">The model has reduced deviance, suggesting a good fit.</w:t>
      </w:r>
    </w:p>
    <w:p>
      <w:pPr>
        <w:pStyle w:val="FirstParagraph"/>
      </w:pPr>
      <w:r>
        <w:rPr>
          <w:bCs/>
          <w:b/>
        </w:rPr>
        <w:t xml:space="preserve">Logistic Regression Model Adjustments</w:t>
      </w:r>
    </w:p>
    <w:p>
      <w:pPr>
        <w:numPr>
          <w:ilvl w:val="0"/>
          <w:numId w:val="1032"/>
        </w:numPr>
      </w:pPr>
      <w:r>
        <w:rPr>
          <w:bCs/>
          <w:b/>
        </w:rPr>
        <w:t xml:space="preserve">Time_since_test</w:t>
      </w:r>
      <w:r>
        <w:t xml:space="preserve">: The model performs better without this variable.</w:t>
      </w:r>
    </w:p>
    <w:p>
      <w:pPr>
        <w:numPr>
          <w:ilvl w:val="0"/>
          <w:numId w:val="1032"/>
        </w:numPr>
      </w:pPr>
      <w:r>
        <w:rPr>
          <w:bCs/>
          <w:b/>
        </w:rPr>
        <w:t xml:space="preserve">DT</w:t>
      </w:r>
      <w:r>
        <w:t xml:space="preserve">: Removed due to high Variance Inflation Factor (VIF), indicating multicollinearity.</w:t>
      </w:r>
    </w:p>
    <w:p>
      <w:pPr>
        <w:numPr>
          <w:ilvl w:val="0"/>
          <w:numId w:val="1032"/>
        </w:numPr>
      </w:pPr>
      <w:r>
        <w:rPr>
          <w:bCs/>
          <w:b/>
        </w:rPr>
        <w:t xml:space="preserve">ddsemotionnel</w:t>
      </w:r>
      <w:r>
        <w:t xml:space="preserve">,</w:t>
      </w:r>
      <w:r>
        <w:t xml:space="preserve"> </w:t>
      </w:r>
      <w:r>
        <w:rPr>
          <w:bCs/>
          <w:b/>
        </w:rPr>
        <w:t xml:space="preserve">ddssoignant</w:t>
      </w:r>
      <w:r>
        <w:t xml:space="preserve">,</w:t>
      </w:r>
      <w:r>
        <w:t xml:space="preserve"> </w:t>
      </w:r>
      <w:r>
        <w:rPr>
          <w:bCs/>
          <w:b/>
        </w:rPr>
        <w:t xml:space="preserve">ddslife</w:t>
      </w:r>
      <w:r>
        <w:t xml:space="preserve">,</w:t>
      </w:r>
      <w:r>
        <w:t xml:space="preserve"> </w:t>
      </w:r>
      <w:r>
        <w:rPr>
          <w:bCs/>
          <w:b/>
        </w:rPr>
        <w:t xml:space="preserve">ddsfam</w:t>
      </w:r>
      <w:r>
        <w:t xml:space="preserve">: Eliminated due to its high correlation with</w:t>
      </w:r>
      <w:r>
        <w:t xml:space="preserve"> </w:t>
      </w:r>
      <w:r>
        <w:rPr>
          <w:bCs/>
          <w:b/>
        </w:rPr>
        <w:t xml:space="preserve">dsglobal</w:t>
      </w:r>
      <w:r>
        <w:t xml:space="preserve">.</w:t>
      </w:r>
    </w:p>
    <w:p>
      <w:pPr>
        <w:numPr>
          <w:ilvl w:val="0"/>
          <w:numId w:val="1032"/>
        </w:numPr>
      </w:pPr>
      <w:r>
        <w:rPr>
          <w:bCs/>
          <w:b/>
        </w:rPr>
        <w:t xml:space="preserve">Sex</w:t>
      </w:r>
      <w:r>
        <w:t xml:space="preserve">: Excluded from the model as it was not a significant predictor.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 of Logistic regression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0"/>
        <w:gridCol w:w="1080"/>
        <w:gridCol w:w="1080"/>
        <w:gridCol w:w="1080"/>
        <w:gridCol w:w="1080"/>
      </w:tblGrid>
      <w:tr>
        <w:trPr>
          <w:trHeight w:val="426" w:hRule="auto"/>
          <w:tblHeader/>
        </w:trPr>
        header 1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Term</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Estimate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Std. Error</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z value</w:t>
            </w:r>
          </w:p>
        </w:tc>
        <w:tc>
          <w:tcPr>
            <w:tcBorders>
              <w:bottom w:val="none" w:sz="0"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Pr(&gt;|z|)</w:t>
            </w:r>
          </w:p>
        </w:tc>
      </w:tr>
      <w:tr>
        <w:trPr>
          <w:trHeight w:val="389" w:hRule="auto"/>
          <w:tblHeader/>
        </w:trPr>
        header 2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numeric</w:t>
            </w:r>
          </w:p>
        </w:tc>
        <w:tc>
          <w:tcPr>
            <w:tcBorders>
              <w:bottom w:val="single" w:sz="12" w:space="0" w:color="AAAAAA"/>
              <w:top w:val="none" w:sz="0"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999999"/>
              </w:rPr>
              <w:t xml:space="preserve">character</w:t>
            </w:r>
          </w:p>
        </w:tc>
      </w:tr>
      <w:tr>
        <w:trPr>
          <w:trHeight w:val="425"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(Intercept)</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-1.1780</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0.4828</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-2.4402</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0.0147</w:t>
            </w:r>
          </w:p>
        </w:tc>
      </w:tr>
      <w:tr>
        <w:trPr>
          <w:trHeight w:val="4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0.0024</w:t>
            </w:r>
          </w:p>
        </w:tc>
      </w:tr>
      <w:tr>
        <w:trPr>
          <w:trHeight w:val="3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Duree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0.0203</w:t>
            </w:r>
          </w:p>
        </w:tc>
      </w:tr>
      <w:tr>
        <w:trPr>
          <w:trHeight w:val="38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who5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0.8659</w:t>
            </w:r>
          </w:p>
        </w:tc>
      </w:tr>
      <w:tr>
        <w:trPr>
          <w:trHeight w:val="42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phq9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-0.7359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0.2520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0.2235</w:t>
            </w:r>
          </w:p>
        </w:tc>
      </w:tr>
      <w:tr>
        <w:trPr>
          <w:trHeight w:val="42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girerd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0.2738</w:t>
            </w:r>
          </w:p>
        </w:tc>
      </w:tr>
      <w:tr>
        <w:trPr>
          <w:trHeight w:val="38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fried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1.9824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0.0474</w:t>
            </w:r>
          </w:p>
        </w:tc>
      </w:tr>
      <w:tr>
        <w:trPr>
          <w:trHeight w:val="42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ddsglobal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-1.1839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0.8352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0.1564</w:t>
            </w:r>
          </w:p>
        </w:tc>
      </w:tr>
      <w:tr>
        <w:trPr>
          <w:trHeight w:val="38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hba1c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2.3153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2.1266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0.0335</w:t>
            </w:r>
          </w:p>
        </w:tc>
      </w:tr>
      <w:tr>
        <w:trPr>
          <w:trHeight w:val="38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0.0011</w:t>
            </w:r>
          </w:p>
        </w:tc>
      </w:tr>
      <w:tr>
        <w:trPr>
          <w:trHeight w:val="422" w:hRule="auto"/>
        </w:trPr>
        body12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hypo</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0.2639</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0.4349</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0.6067</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0.5441</w:t>
            </w:r>
          </w:p>
        </w:tc>
      </w:tr>
      <w:tr>
        <w:trPr>
          <w:trHeight w:val="360" w:hRule="auto"/>
        </w:trPr>
        footer 1
        <w:tc>
          <w:tcPr>
            <w:gridSpan w:val="5"/>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 12</w:t>
            </w:r>
          </w:p>
        </w:tc>
      </w:tr>
    </w:tbl>
    <w:p>
      <w:pPr>
        <w:pStyle w:val="FirstParagraph"/>
      </w:pPr>
      <w:r>
        <w:drawing>
          <wp:inline>
            <wp:extent cx="5943600" cy="3962400"/>
            <wp:effectExtent b="0" l="0" r="0" t="0"/>
            <wp:docPr descr="" title="" id="123" name="Picture"/>
            <a:graphic>
              <a:graphicData uri="http://schemas.openxmlformats.org/drawingml/2006/picture">
                <pic:pic>
                  <pic:nvPicPr>
                    <pic:cNvPr descr="Report_files/figure-docx/pca%2019-1.png" id="124" name="Picture"/>
                    <pic:cNvPicPr>
                      <a:picLocks noChangeArrowheads="1" noChangeAspect="1"/>
                    </pic:cNvPicPr>
                  </pic:nvPicPr>
                  <pic:blipFill>
                    <a:blip r:embed="rId122"/>
                    <a:stretch>
                      <a:fillRect/>
                    </a:stretch>
                  </pic:blipFill>
                  <pic:spPr bwMode="auto">
                    <a:xfrm>
                      <a:off x="0" y="0"/>
                      <a:ext cx="5943600" cy="3962400"/>
                    </a:xfrm>
                    <a:prstGeom prst="rect">
                      <a:avLst/>
                    </a:prstGeom>
                    <a:noFill/>
                    <a:ln w="9525">
                      <a:noFill/>
                      <a:headEnd/>
                      <a:tailEnd/>
                    </a:ln>
                  </pic:spPr>
                </pic:pic>
              </a:graphicData>
            </a:graphic>
          </wp:inline>
        </w:drawing>
      </w:r>
    </w:p>
    <w:bookmarkEnd w:id="125"/>
    <w:bookmarkEnd w:id="126"/>
    <w:sectPr w:rsidR="00855982" w:rsidRPr="00855982" w:rsidSect="00855982">
      <w:footerReference r:id="rId9" w:type="default"/>
      <w:pgSz w:h="15840" w:w="12240"/>
      <w:pgMar w:bottom="1440" w:footer="720" w:gutter="0" w:header="720" w:left="1440" w:right="1440" w:top="144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7ACFE8E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C4986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763C0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6D2C1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F4021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FA68F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80A6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EFE450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2C68B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6242D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BC200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7370819"/>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A42467A"/>
    <w:multiLevelType w:val="multilevel"/>
    <w:tmpl w:val="32C64BCA"/>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0B086CCA"/>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3">
    <w:nsid w:val="0DBE68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157272B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3F9A3F7E"/>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7">
    <w:nsid w:val="498652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86950096" w:numId="1">
    <w:abstractNumId w:val="14"/>
  </w:num>
  <w:num w16cid:durableId="1254776679"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2803686" w:numId="3">
    <w:abstractNumId w:val="14"/>
  </w:num>
  <w:num w16cid:durableId="399408767" w:numId="4">
    <w:abstractNumId w:val="14"/>
  </w:num>
  <w:num w16cid:durableId="1571503450" w:numId="5">
    <w:abstractNumId w:val="14"/>
  </w:num>
  <w:num w16cid:durableId="763916031" w:numId="6">
    <w:abstractNumId w:val="14"/>
  </w:num>
  <w:num w16cid:durableId="1427799957" w:numId="7">
    <w:abstractNumId w:val="14"/>
  </w:num>
  <w:num w16cid:durableId="761725609" w:numId="8">
    <w:abstractNumId w:val="14"/>
  </w:num>
  <w:num w16cid:durableId="1610315489" w:numId="9">
    <w:abstractNumId w:val="14"/>
  </w:num>
  <w:num w16cid:durableId="2010324131" w:numId="10">
    <w:abstractNumId w:val="14"/>
  </w:num>
  <w:num w16cid:durableId="607007048" w:numId="11">
    <w:abstractNumId w:val="14"/>
  </w:num>
  <w:num w16cid:durableId="2070881234" w:numId="12">
    <w:abstractNumId w:val="14"/>
  </w:num>
  <w:num w16cid:durableId="47535843" w:numId="13">
    <w:abstractNumId w:val="10"/>
  </w:num>
  <w:num w16cid:durableId="1939290566" w:numId="14">
    <w:abstractNumId w:val="17"/>
  </w:num>
  <w:num w16cid:durableId="94904893" w:numId="15">
    <w:abstractNumId w:val="11"/>
  </w:num>
  <w:num w16cid:durableId="289283666" w:numId="16">
    <w:abstractNumId w:val="12"/>
  </w:num>
  <w:num w16cid:durableId="122774754" w:numId="17">
    <w:abstractNumId w:val="9"/>
  </w:num>
  <w:num w16cid:durableId="638993218" w:numId="18">
    <w:abstractNumId w:val="7"/>
  </w:num>
  <w:num w16cid:durableId="287468086" w:numId="19">
    <w:abstractNumId w:val="6"/>
  </w:num>
  <w:num w16cid:durableId="1988171085" w:numId="20">
    <w:abstractNumId w:val="5"/>
  </w:num>
  <w:num w16cid:durableId="1099986409" w:numId="21">
    <w:abstractNumId w:val="4"/>
  </w:num>
  <w:num w16cid:durableId="170534745" w:numId="22">
    <w:abstractNumId w:val="8"/>
  </w:num>
  <w:num w16cid:durableId="1716932026" w:numId="23">
    <w:abstractNumId w:val="3"/>
  </w:num>
  <w:num w16cid:durableId="6755345" w:numId="24">
    <w:abstractNumId w:val="2"/>
  </w:num>
  <w:num w16cid:durableId="215093603" w:numId="25">
    <w:abstractNumId w:val="1"/>
  </w:num>
  <w:num w16cid:durableId="2141070043" w:numId="26">
    <w:abstractNumId w:val="0"/>
  </w:num>
  <w:num w16cid:durableId="351499583" w:numId="27">
    <w:abstractNumId w:val="13"/>
  </w:num>
  <w:num w16cid:durableId="409161762" w:numId="28">
    <w:abstractNumId w:val="15"/>
  </w:num>
  <w:num w16cid:durableId="1235622503" w:numId="29">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ja-JP"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unhideWhenUsed="1"/>
    <w:lsdException w:name="Emphasis" w:qFormat="1"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262C"/>
  </w:style>
  <w:style w:styleId="Heading1" w:type="paragraph">
    <w:name w:val="heading 1"/>
    <w:basedOn w:val="Normal"/>
    <w:next w:val="Normal"/>
    <w:link w:val="Heading1Char"/>
    <w:uiPriority w:val="9"/>
    <w:qFormat/>
    <w:rsid w:val="00C21883"/>
    <w:pPr>
      <w:keepNext/>
      <w:keepLines/>
      <w:pBdr>
        <w:bottom w:color="595959" w:space="1" w:sz="4" w:themeColor="text1" w:themeTint="A6" w:val="single"/>
      </w:pBdr>
      <w:spacing w:before="360" w:line="360" w:lineRule="auto"/>
      <w:jc w:val="center"/>
      <w:outlineLvl w:val="0"/>
    </w:pPr>
    <w:rPr>
      <w:rFonts w:asciiTheme="majorHAnsi" w:cstheme="majorBidi" w:eastAsiaTheme="majorEastAsia" w:hAnsiTheme="majorHAnsi"/>
      <w:b/>
      <w:bCs/>
      <w:smallCaps/>
      <w:sz w:val="36"/>
      <w:szCs w:val="36"/>
    </w:rPr>
  </w:style>
  <w:style w:styleId="Heading2" w:type="paragraph">
    <w:name w:val="heading 2"/>
    <w:basedOn w:val="Normal"/>
    <w:next w:val="Normal"/>
    <w:link w:val="Heading2Char"/>
    <w:uiPriority w:val="9"/>
    <w:semiHidden/>
    <w:unhideWhenUsed/>
    <w:qFormat/>
    <w:rsid w:val="00FD262C"/>
    <w:pPr>
      <w:keepNext/>
      <w:keepLines/>
      <w:spacing w:after="0" w:before="360"/>
      <w:outlineLvl w:val="1"/>
    </w:pPr>
    <w:rPr>
      <w:rFonts w:asciiTheme="majorHAnsi" w:cstheme="majorBidi" w:eastAsiaTheme="majorEastAsia" w:hAnsiTheme="majorHAnsi"/>
      <w:b/>
      <w:bCs/>
      <w:smallCaps/>
      <w:sz w:val="28"/>
      <w:szCs w:val="28"/>
    </w:rPr>
  </w:style>
  <w:style w:styleId="Heading3" w:type="paragraph">
    <w:name w:val="heading 3"/>
    <w:basedOn w:val="Normal"/>
    <w:next w:val="Normal"/>
    <w:link w:val="Heading3Char"/>
    <w:uiPriority w:val="9"/>
    <w:semiHidden/>
    <w:unhideWhenUsed/>
    <w:qFormat/>
    <w:rsid w:val="00FD262C"/>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Normal"/>
    <w:link w:val="Heading4Char"/>
    <w:uiPriority w:val="9"/>
    <w:semiHidden/>
    <w:unhideWhenUsed/>
    <w:qFormat/>
    <w:rsid w:val="00FD262C"/>
    <w:pPr>
      <w:keepNext/>
      <w:keepLines/>
      <w:spacing w:after="0" w:before="200"/>
      <w:outlineLvl w:val="3"/>
    </w:pPr>
    <w:rPr>
      <w:rFonts w:asciiTheme="majorHAnsi" w:cstheme="majorBidi" w:eastAsiaTheme="majorEastAsia" w:hAnsiTheme="majorHAnsi"/>
      <w:b/>
      <w:bCs/>
      <w:i/>
      <w:iCs/>
    </w:rPr>
  </w:style>
  <w:style w:styleId="Heading5" w:type="paragraph">
    <w:name w:val="heading 5"/>
    <w:basedOn w:val="Normal"/>
    <w:next w:val="Normal"/>
    <w:link w:val="Heading5Char"/>
    <w:uiPriority w:val="9"/>
    <w:semiHidden/>
    <w:unhideWhenUsed/>
    <w:qFormat/>
    <w:rsid w:val="00FD262C"/>
    <w:pPr>
      <w:keepNext/>
      <w:keepLines/>
      <w:spacing w:after="0" w:before="20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semiHidden/>
    <w:unhideWhenUsed/>
    <w:qFormat/>
    <w:rsid w:val="00FD262C"/>
    <w:pPr>
      <w:keepNext/>
      <w:keepLines/>
      <w:spacing w:after="0" w:before="200"/>
      <w:outlineLvl w:val="5"/>
    </w:pPr>
    <w:rPr>
      <w:rFonts w:asciiTheme="majorHAnsi" w:cstheme="majorBidi" w:eastAsiaTheme="majorEastAsia" w:hAnsiTheme="majorHAnsi"/>
      <w:i/>
      <w:iCs/>
      <w:color w:themeColor="text1" w:themeTint="BF" w:val="404040"/>
    </w:rPr>
  </w:style>
  <w:style w:styleId="Heading7" w:type="paragraph">
    <w:name w:val="heading 7"/>
    <w:basedOn w:val="Normal"/>
    <w:next w:val="Normal"/>
    <w:link w:val="Heading7Char"/>
    <w:uiPriority w:val="9"/>
    <w:semiHidden/>
    <w:unhideWhenUsed/>
    <w:qFormat/>
    <w:rsid w:val="00FD262C"/>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D262C"/>
    <w:pPr>
      <w:keepNext/>
      <w:keepLines/>
      <w:spacing w:after="0" w:before="200"/>
      <w:outlineLvl w:val="7"/>
    </w:pPr>
    <w:rPr>
      <w:rFonts w:asciiTheme="majorHAnsi" w:cstheme="majorBidi" w:eastAsiaTheme="majorEastAsia" w:hAnsiTheme="majorHAnsi"/>
      <w:color w:themeColor="text1" w:themeTint="BF" w:val="404040"/>
      <w:szCs w:val="20"/>
    </w:rPr>
  </w:style>
  <w:style w:styleId="Heading9" w:type="paragraph">
    <w:name w:val="heading 9"/>
    <w:basedOn w:val="Normal"/>
    <w:next w:val="Normal"/>
    <w:link w:val="Heading9Char"/>
    <w:uiPriority w:val="9"/>
    <w:semiHidden/>
    <w:unhideWhenUsed/>
    <w:qFormat/>
    <w:rsid w:val="00FD262C"/>
    <w:pPr>
      <w:keepNext/>
      <w:keepLines/>
      <w:spacing w:after="0" w:before="200"/>
      <w:outlineLvl w:val="8"/>
    </w:pPr>
    <w:rPr>
      <w:rFonts w:asciiTheme="majorHAnsi" w:cstheme="majorBidi" w:eastAsiaTheme="majorEastAsia" w:hAnsiTheme="majorHAnsi"/>
      <w:i/>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uiPriority w:val="1"/>
    <w:qFormat/>
    <w:rsid w:val="00C21883"/>
    <w:pPr>
      <w:spacing w:after="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
    <w:rsid w:val="00C21883"/>
    <w:rPr>
      <w:rFonts w:asciiTheme="majorHAnsi" w:cstheme="majorBidi" w:eastAsiaTheme="majorEastAsia" w:hAnsiTheme="majorHAnsi"/>
      <w:sz w:val="56"/>
      <w:szCs w:val="56"/>
    </w:rPr>
  </w:style>
  <w:style w:styleId="Header" w:type="paragraph">
    <w:name w:val="header"/>
    <w:basedOn w:val="Normal"/>
    <w:link w:val="HeaderChar"/>
    <w:uiPriority w:val="99"/>
    <w:unhideWhenUsed/>
    <w:rsid w:val="00855982"/>
    <w:pPr>
      <w:spacing w:after="0" w:line="240" w:lineRule="auto"/>
    </w:pPr>
  </w:style>
  <w:style w:customStyle="1" w:styleId="HeaderChar" w:type="character">
    <w:name w:val="Header Char"/>
    <w:basedOn w:val="DefaultParagraphFont"/>
    <w:link w:val="Header"/>
    <w:uiPriority w:val="99"/>
    <w:rsid w:val="00855982"/>
  </w:style>
  <w:style w:customStyle="1" w:styleId="Heading1Char" w:type="character">
    <w:name w:val="Heading 1 Char"/>
    <w:basedOn w:val="DefaultParagraphFont"/>
    <w:link w:val="Heading1"/>
    <w:uiPriority w:val="9"/>
    <w:rsid w:val="00C21883"/>
    <w:rPr>
      <w:rFonts w:asciiTheme="majorHAnsi" w:cstheme="majorBidi" w:eastAsiaTheme="majorEastAsia" w:hAnsiTheme="majorHAnsi"/>
      <w:b/>
      <w:bCs/>
      <w:smallCaps/>
      <w:sz w:val="36"/>
      <w:szCs w:val="36"/>
    </w:rPr>
  </w:style>
  <w:style w:customStyle="1" w:styleId="Heading2Char" w:type="character">
    <w:name w:val="Heading 2 Char"/>
    <w:basedOn w:val="DefaultParagraphFont"/>
    <w:link w:val="Heading2"/>
    <w:uiPriority w:val="9"/>
    <w:semiHidden/>
    <w:rsid w:val="00FD262C"/>
    <w:rPr>
      <w:rFonts w:asciiTheme="majorHAnsi" w:cstheme="majorBidi" w:eastAsiaTheme="majorEastAsia" w:hAnsiTheme="majorHAnsi"/>
      <w:b/>
      <w:bCs/>
      <w:smallCaps/>
      <w:sz w:val="28"/>
      <w:szCs w:val="28"/>
    </w:rPr>
  </w:style>
  <w:style w:customStyle="1" w:styleId="Heading3Char" w:type="character">
    <w:name w:val="Heading 3 Char"/>
    <w:basedOn w:val="DefaultParagraphFont"/>
    <w:link w:val="Heading3"/>
    <w:uiPriority w:val="9"/>
    <w:semiHidden/>
    <w:rsid w:val="00FD262C"/>
    <w:rPr>
      <w:rFonts w:asciiTheme="majorHAnsi" w:cstheme="majorBidi" w:eastAsiaTheme="majorEastAsia" w:hAnsiTheme="majorHAnsi"/>
      <w:b/>
      <w:bCs/>
    </w:rPr>
  </w:style>
  <w:style w:customStyle="1" w:styleId="Heading4Char" w:type="character">
    <w:name w:val="Heading 4 Char"/>
    <w:basedOn w:val="DefaultParagraphFont"/>
    <w:link w:val="Heading4"/>
    <w:uiPriority w:val="9"/>
    <w:semiHidden/>
    <w:rsid w:val="00FD262C"/>
    <w:rPr>
      <w:rFonts w:asciiTheme="majorHAnsi" w:cstheme="majorBidi" w:eastAsiaTheme="majorEastAsia" w:hAnsiTheme="majorHAnsi"/>
      <w:b/>
      <w:bCs/>
      <w:i/>
      <w:iCs/>
    </w:rPr>
  </w:style>
  <w:style w:customStyle="1" w:styleId="Heading5Char" w:type="character">
    <w:name w:val="Heading 5 Char"/>
    <w:basedOn w:val="DefaultParagraphFont"/>
    <w:link w:val="Heading5"/>
    <w:uiPriority w:val="9"/>
    <w:semiHidden/>
    <w:rsid w:val="00FD262C"/>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semiHidden/>
    <w:rsid w:val="00FD262C"/>
    <w:rPr>
      <w:rFonts w:asciiTheme="majorHAnsi" w:cstheme="majorBidi" w:eastAsiaTheme="majorEastAsia" w:hAnsiTheme="majorHAnsi"/>
      <w:i/>
      <w:iCs/>
      <w:color w:themeColor="text1" w:themeTint="BF" w:val="404040"/>
    </w:rPr>
  </w:style>
  <w:style w:customStyle="1" w:styleId="Heading7Char" w:type="character">
    <w:name w:val="Heading 7 Char"/>
    <w:basedOn w:val="DefaultParagraphFont"/>
    <w:link w:val="Heading7"/>
    <w:uiPriority w:val="9"/>
    <w:semiHidden/>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1D4362"/>
    <w:rPr>
      <w:rFonts w:asciiTheme="majorHAnsi" w:cstheme="majorBidi" w:eastAsiaTheme="majorEastAsia" w:hAnsiTheme="majorHAnsi"/>
      <w:color w:themeColor="text1" w:themeTint="BF" w:val="404040"/>
      <w:szCs w:val="20"/>
    </w:rPr>
  </w:style>
  <w:style w:customStyle="1" w:styleId="Heading9Char" w:type="character">
    <w:name w:val="Heading 9 Char"/>
    <w:basedOn w:val="DefaultParagraphFont"/>
    <w:link w:val="Heading9"/>
    <w:uiPriority w:val="9"/>
    <w:semiHidden/>
    <w:rsid w:val="001D4362"/>
    <w:rPr>
      <w:rFonts w:asciiTheme="majorHAnsi" w:cstheme="majorBidi" w:eastAsiaTheme="majorEastAsia" w:hAnsiTheme="majorHAnsi"/>
      <w:i/>
      <w:iCs/>
      <w:color w:themeColor="text1" w:themeTint="BF" w:val="404040"/>
      <w:szCs w:val="20"/>
    </w:rPr>
  </w:style>
  <w:style w:styleId="Footer" w:type="paragraph">
    <w:name w:val="footer"/>
    <w:basedOn w:val="Normal"/>
    <w:link w:val="FooterChar"/>
    <w:uiPriority w:val="99"/>
    <w:unhideWhenUsed/>
    <w:rsid w:val="00855982"/>
    <w:pPr>
      <w:spacing w:after="0" w:line="240" w:lineRule="auto"/>
    </w:pPr>
  </w:style>
  <w:style w:customStyle="1" w:styleId="FooterChar" w:type="character">
    <w:name w:val="Footer Char"/>
    <w:basedOn w:val="DefaultParagraphFont"/>
    <w:link w:val="Footer"/>
    <w:uiPriority w:val="99"/>
    <w:rsid w:val="00855982"/>
  </w:style>
  <w:style w:styleId="Caption" w:type="paragraph">
    <w:name w:val="caption"/>
    <w:basedOn w:val="Normal"/>
    <w:next w:val="Normal"/>
    <w:uiPriority w:val="35"/>
    <w:semiHidden/>
    <w:unhideWhenUsed/>
    <w:qFormat/>
    <w:rsid w:val="001D4362"/>
    <w:pPr>
      <w:spacing w:after="200" w:line="240" w:lineRule="auto"/>
    </w:pPr>
    <w:rPr>
      <w:i/>
      <w:iCs/>
      <w:color w:themeColor="text2" w:val="323232"/>
      <w:szCs w:val="18"/>
    </w:rPr>
  </w:style>
  <w:style w:styleId="TOCHeading" w:type="paragraph">
    <w:name w:val="TOC Heading"/>
    <w:basedOn w:val="Heading1"/>
    <w:next w:val="Normal"/>
    <w:uiPriority w:val="39"/>
    <w:semiHidden/>
    <w:unhideWhenUsed/>
    <w:qFormat/>
    <w:pPr>
      <w:outlineLvl w:val="9"/>
    </w:pPr>
  </w:style>
  <w:style w:styleId="BalloonText" w:type="paragraph">
    <w:name w:val="Balloon Text"/>
    <w:basedOn w:val="Normal"/>
    <w:link w:val="BalloonTextChar"/>
    <w:uiPriority w:val="99"/>
    <w:semiHidden/>
    <w:unhideWhenUsed/>
    <w:rsid w:val="001D4362"/>
    <w:pPr>
      <w:spacing w:after="0" w:line="240" w:lineRule="auto"/>
    </w:pPr>
    <w:rPr>
      <w:rFonts w:ascii="Segoe UI" w:cs="Segoe UI" w:hAnsi="Segoe UI"/>
      <w:szCs w:val="18"/>
    </w:rPr>
  </w:style>
  <w:style w:customStyle="1" w:styleId="BalloonTextChar" w:type="character">
    <w:name w:val="Balloon Text Char"/>
    <w:basedOn w:val="DefaultParagraphFont"/>
    <w:link w:val="BalloonText"/>
    <w:uiPriority w:val="99"/>
    <w:semiHidden/>
    <w:rsid w:val="001D4362"/>
    <w:rPr>
      <w:rFonts w:ascii="Segoe UI" w:cs="Segoe UI" w:hAnsi="Segoe UI"/>
      <w:szCs w:val="18"/>
    </w:rPr>
  </w:style>
  <w:style w:styleId="BodyText3" w:type="paragraph">
    <w:name w:val="Body Text 3"/>
    <w:basedOn w:val="Normal"/>
    <w:link w:val="BodyText3Char"/>
    <w:uiPriority w:val="99"/>
    <w:semiHidden/>
    <w:unhideWhenUsed/>
    <w:rsid w:val="001D4362"/>
    <w:pPr>
      <w:spacing w:after="120"/>
    </w:pPr>
    <w:rPr>
      <w:szCs w:val="16"/>
    </w:rPr>
  </w:style>
  <w:style w:customStyle="1" w:styleId="BodyText3Char" w:type="character">
    <w:name w:val="Body Text 3 Char"/>
    <w:basedOn w:val="DefaultParagraphFont"/>
    <w:link w:val="BodyText3"/>
    <w:uiPriority w:val="99"/>
    <w:semiHidden/>
    <w:rsid w:val="001D4362"/>
    <w:rPr>
      <w:szCs w:val="16"/>
    </w:rPr>
  </w:style>
  <w:style w:styleId="BodyTextIndent3" w:type="paragraph">
    <w:name w:val="Body Text Indent 3"/>
    <w:basedOn w:val="Normal"/>
    <w:link w:val="BodyTextIndent3Char"/>
    <w:uiPriority w:val="99"/>
    <w:semiHidden/>
    <w:unhideWhenUsed/>
    <w:rsid w:val="001D4362"/>
    <w:pPr>
      <w:spacing w:after="120"/>
      <w:ind w:left="360"/>
    </w:pPr>
    <w:rPr>
      <w:szCs w:val="16"/>
    </w:rPr>
  </w:style>
  <w:style w:customStyle="1" w:styleId="BodyTextIndent3Char" w:type="character">
    <w:name w:val="Body Text Indent 3 Char"/>
    <w:basedOn w:val="DefaultParagraphFont"/>
    <w:link w:val="BodyTextIndent3"/>
    <w:uiPriority w:val="99"/>
    <w:semiHidden/>
    <w:rsid w:val="001D4362"/>
    <w:rPr>
      <w:szCs w:val="16"/>
    </w:rPr>
  </w:style>
  <w:style w:styleId="CommentReference" w:type="character">
    <w:name w:val="annotation reference"/>
    <w:basedOn w:val="DefaultParagraphFont"/>
    <w:uiPriority w:val="99"/>
    <w:semiHidden/>
    <w:unhideWhenUsed/>
    <w:rsid w:val="001D4362"/>
    <w:rPr>
      <w:sz w:val="22"/>
      <w:szCs w:val="16"/>
    </w:rPr>
  </w:style>
  <w:style w:styleId="CommentText" w:type="paragraph">
    <w:name w:val="annotation text"/>
    <w:basedOn w:val="Normal"/>
    <w:link w:val="CommentTextChar"/>
    <w:uiPriority w:val="99"/>
    <w:semiHidden/>
    <w:unhideWhenUsed/>
    <w:rsid w:val="001D4362"/>
    <w:pPr>
      <w:spacing w:line="240" w:lineRule="auto"/>
    </w:pPr>
    <w:rPr>
      <w:szCs w:val="20"/>
    </w:rPr>
  </w:style>
  <w:style w:customStyle="1" w:styleId="CommentTextChar" w:type="character">
    <w:name w:val="Comment Text Char"/>
    <w:basedOn w:val="DefaultParagraphFont"/>
    <w:link w:val="CommentText"/>
    <w:uiPriority w:val="99"/>
    <w:semiHidden/>
    <w:rsid w:val="001D4362"/>
    <w:rPr>
      <w:szCs w:val="20"/>
    </w:rPr>
  </w:style>
  <w:style w:styleId="CommentSubject" w:type="paragraph">
    <w:name w:val="annotation subject"/>
    <w:basedOn w:val="CommentText"/>
    <w:next w:val="CommentText"/>
    <w:link w:val="CommentSubjectChar"/>
    <w:uiPriority w:val="99"/>
    <w:semiHidden/>
    <w:unhideWhenUsed/>
    <w:rsid w:val="001D4362"/>
    <w:rPr>
      <w:b/>
      <w:bCs/>
    </w:rPr>
  </w:style>
  <w:style w:customStyle="1" w:styleId="CommentSubjectChar" w:type="character">
    <w:name w:val="Comment Subject Char"/>
    <w:basedOn w:val="CommentTextChar"/>
    <w:link w:val="CommentSubject"/>
    <w:uiPriority w:val="99"/>
    <w:semiHidden/>
    <w:rsid w:val="001D4362"/>
    <w:rPr>
      <w:b/>
      <w:bCs/>
      <w:szCs w:val="20"/>
    </w:rPr>
  </w:style>
  <w:style w:styleId="DocumentMap" w:type="paragraph">
    <w:name w:val="Document Map"/>
    <w:basedOn w:val="Normal"/>
    <w:link w:val="DocumentMapChar"/>
    <w:uiPriority w:val="99"/>
    <w:semiHidden/>
    <w:unhideWhenUsed/>
    <w:rsid w:val="001D4362"/>
    <w:pPr>
      <w:spacing w:after="0" w:line="240" w:lineRule="auto"/>
    </w:pPr>
    <w:rPr>
      <w:rFonts w:ascii="Segoe UI" w:cs="Segoe UI" w:hAnsi="Segoe UI"/>
      <w:szCs w:val="16"/>
    </w:rPr>
  </w:style>
  <w:style w:customStyle="1" w:styleId="DocumentMapChar" w:type="character">
    <w:name w:val="Document Map Char"/>
    <w:basedOn w:val="DefaultParagraphFont"/>
    <w:link w:val="DocumentMap"/>
    <w:uiPriority w:val="99"/>
    <w:semiHidden/>
    <w:rsid w:val="001D4362"/>
    <w:rPr>
      <w:rFonts w:ascii="Segoe UI" w:cs="Segoe UI" w:hAnsi="Segoe UI"/>
      <w:szCs w:val="16"/>
    </w:rPr>
  </w:style>
  <w:style w:styleId="EndnoteText" w:type="paragraph">
    <w:name w:val="endnote text"/>
    <w:basedOn w:val="Normal"/>
    <w:link w:val="EndnoteTextChar"/>
    <w:uiPriority w:val="99"/>
    <w:semiHidden/>
    <w:unhideWhenUsed/>
    <w:rsid w:val="001D4362"/>
    <w:pPr>
      <w:spacing w:after="0" w:line="240" w:lineRule="auto"/>
    </w:pPr>
    <w:rPr>
      <w:szCs w:val="20"/>
    </w:rPr>
  </w:style>
  <w:style w:customStyle="1" w:styleId="EndnoteTextChar" w:type="character">
    <w:name w:val="Endnote Text Char"/>
    <w:basedOn w:val="DefaultParagraphFont"/>
    <w:link w:val="EndnoteText"/>
    <w:uiPriority w:val="99"/>
    <w:semiHidden/>
    <w:rsid w:val="001D4362"/>
    <w:rPr>
      <w:szCs w:val="20"/>
    </w:rPr>
  </w:style>
  <w:style w:styleId="EnvelopeReturn" w:type="paragraph">
    <w:name w:val="envelope return"/>
    <w:basedOn w:val="Normal"/>
    <w:uiPriority w:val="99"/>
    <w:semiHidden/>
    <w:unhideWhenUsed/>
    <w:rsid w:val="001D4362"/>
    <w:pPr>
      <w:spacing w:after="0" w:line="240" w:lineRule="auto"/>
    </w:pPr>
    <w:rPr>
      <w:rFonts w:asciiTheme="majorHAnsi" w:cstheme="majorBidi" w:eastAsiaTheme="majorEastAsia" w:hAnsiTheme="majorHAnsi"/>
      <w:szCs w:val="20"/>
    </w:rPr>
  </w:style>
  <w:style w:styleId="FootnoteText" w:type="paragraph">
    <w:name w:val="footnote text"/>
    <w:basedOn w:val="Normal"/>
    <w:link w:val="FootnoteTextChar"/>
    <w:uiPriority w:val="99"/>
    <w:semiHidden/>
    <w:unhideWhenUsed/>
    <w:rsid w:val="001D4362"/>
    <w:pPr>
      <w:spacing w:after="0" w:line="240" w:lineRule="auto"/>
    </w:pPr>
    <w:rPr>
      <w:szCs w:val="20"/>
    </w:rPr>
  </w:style>
  <w:style w:customStyle="1" w:styleId="FootnoteTextChar" w:type="character">
    <w:name w:val="Footnote Text Char"/>
    <w:basedOn w:val="DefaultParagraphFont"/>
    <w:link w:val="FootnoteText"/>
    <w:uiPriority w:val="99"/>
    <w:semiHidden/>
    <w:rsid w:val="001D4362"/>
    <w:rPr>
      <w:szCs w:val="20"/>
    </w:rPr>
  </w:style>
  <w:style w:styleId="HTMLCode" w:type="character">
    <w:name w:val="HTML Code"/>
    <w:basedOn w:val="DefaultParagraphFont"/>
    <w:uiPriority w:val="99"/>
    <w:semiHidden/>
    <w:unhideWhenUsed/>
    <w:rsid w:val="001D4362"/>
    <w:rPr>
      <w:rFonts w:ascii="Consolas" w:hAnsi="Consolas"/>
      <w:sz w:val="22"/>
      <w:szCs w:val="20"/>
    </w:rPr>
  </w:style>
  <w:style w:styleId="HTMLKeyboard" w:type="character">
    <w:name w:val="HTML Keyboard"/>
    <w:basedOn w:val="DefaultParagraphFont"/>
    <w:uiPriority w:val="99"/>
    <w:semiHidden/>
    <w:unhideWhenUsed/>
    <w:rsid w:val="001D4362"/>
    <w:rPr>
      <w:rFonts w:ascii="Consolas" w:hAnsi="Consolas"/>
      <w:sz w:val="22"/>
      <w:szCs w:val="20"/>
    </w:rPr>
  </w:style>
  <w:style w:styleId="HTMLPreformatted" w:type="paragraph">
    <w:name w:val="HTML Preformatted"/>
    <w:basedOn w:val="Normal"/>
    <w:link w:val="HTMLPreformattedChar"/>
    <w:uiPriority w:val="99"/>
    <w:semiHidden/>
    <w:unhideWhenUsed/>
    <w:rsid w:val="001D4362"/>
    <w:pPr>
      <w:spacing w:after="0" w:line="240" w:lineRule="auto"/>
    </w:pPr>
    <w:rPr>
      <w:rFonts w:ascii="Consolas" w:hAnsi="Consolas"/>
      <w:szCs w:val="20"/>
    </w:rPr>
  </w:style>
  <w:style w:customStyle="1" w:styleId="HTMLPreformattedChar" w:type="character">
    <w:name w:val="HTML Preformatted Char"/>
    <w:basedOn w:val="DefaultParagraphFont"/>
    <w:link w:val="HTMLPreformatted"/>
    <w:uiPriority w:val="99"/>
    <w:semiHidden/>
    <w:rsid w:val="001D4362"/>
    <w:rPr>
      <w:rFonts w:ascii="Consolas" w:hAnsi="Consolas"/>
      <w:szCs w:val="20"/>
    </w:rPr>
  </w:style>
  <w:style w:styleId="HTMLTypewriter" w:type="character">
    <w:name w:val="HTML Typewriter"/>
    <w:basedOn w:val="DefaultParagraphFont"/>
    <w:uiPriority w:val="99"/>
    <w:semiHidden/>
    <w:unhideWhenUsed/>
    <w:rsid w:val="001D4362"/>
    <w:rPr>
      <w:rFonts w:ascii="Consolas" w:hAnsi="Consolas"/>
      <w:sz w:val="22"/>
      <w:szCs w:val="20"/>
    </w:rPr>
  </w:style>
  <w:style w:styleId="MacroText" w:type="paragraph">
    <w:name w:val="macro"/>
    <w:link w:val="MacroTextChar"/>
    <w:uiPriority w:val="99"/>
    <w:semiHidden/>
    <w:unhideWhenUsed/>
    <w:rsid w:val="001D4362"/>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Cs w:val="20"/>
    </w:rPr>
  </w:style>
  <w:style w:customStyle="1" w:styleId="MacroTextChar" w:type="character">
    <w:name w:val="Macro Text Char"/>
    <w:basedOn w:val="DefaultParagraphFont"/>
    <w:link w:val="MacroText"/>
    <w:uiPriority w:val="99"/>
    <w:semiHidden/>
    <w:rsid w:val="001D4362"/>
    <w:rPr>
      <w:rFonts w:ascii="Consolas" w:hAnsi="Consolas"/>
      <w:szCs w:val="20"/>
    </w:rPr>
  </w:style>
  <w:style w:styleId="PlainText" w:type="paragraph">
    <w:name w:val="Plain Text"/>
    <w:basedOn w:val="Normal"/>
    <w:link w:val="PlainTextChar"/>
    <w:uiPriority w:val="99"/>
    <w:semiHidden/>
    <w:unhideWhenUsed/>
    <w:rsid w:val="001D4362"/>
    <w:pPr>
      <w:spacing w:after="0" w:line="240" w:lineRule="auto"/>
    </w:pPr>
    <w:rPr>
      <w:rFonts w:ascii="Consolas" w:hAnsi="Consolas"/>
      <w:szCs w:val="21"/>
    </w:rPr>
  </w:style>
  <w:style w:customStyle="1" w:styleId="PlainTextChar" w:type="character">
    <w:name w:val="Plain Text Char"/>
    <w:basedOn w:val="DefaultParagraphFont"/>
    <w:link w:val="PlainText"/>
    <w:uiPriority w:val="99"/>
    <w:semiHidden/>
    <w:rsid w:val="001D4362"/>
    <w:rPr>
      <w:rFonts w:ascii="Consolas" w:hAnsi="Consolas"/>
      <w:szCs w:val="21"/>
    </w:rPr>
  </w:style>
  <w:style w:styleId="BlockText" w:type="paragraph">
    <w:name w:val="Block Text"/>
    <w:basedOn w:val="Normal"/>
    <w:uiPriority w:val="99"/>
    <w:semiHidden/>
    <w:unhideWhenUsed/>
    <w:rsid w:val="00FD262C"/>
    <w:pPr>
      <w:pBdr>
        <w:top w:color="783F04" w:shadow="1" w:space="10" w:sz="2" w:themeColor="accent1" w:themeShade="80" w:val="single"/>
        <w:left w:color="783F04" w:shadow="1" w:space="10" w:sz="2" w:themeColor="accent1" w:themeShade="80" w:val="single"/>
        <w:bottom w:color="783F04" w:shadow="1" w:space="10" w:sz="2" w:themeColor="accent1" w:themeShade="80" w:val="single"/>
        <w:right w:color="783F04" w:shadow="1" w:space="10" w:sz="2" w:themeColor="accent1" w:themeShade="80" w:val="single"/>
      </w:pBdr>
      <w:ind w:left="1152" w:right="1152"/>
    </w:pPr>
    <w:rPr>
      <w:i/>
      <w:iCs/>
      <w:color w:themeColor="accent1" w:themeShade="80" w:val="783F04"/>
    </w:rPr>
  </w:style>
  <w:style w:styleId="FollowedHyperlink" w:type="character">
    <w:name w:val="FollowedHyperlink"/>
    <w:basedOn w:val="DefaultParagraphFont"/>
    <w:uiPriority w:val="99"/>
    <w:semiHidden/>
    <w:unhideWhenUsed/>
    <w:rsid w:val="007833A7"/>
    <w:rPr>
      <w:color w:themeColor="accent1" w:themeShade="80" w:val="783F04"/>
      <w:u w:val="single"/>
    </w:rPr>
  </w:style>
  <w:style w:styleId="Hyperlink" w:type="character">
    <w:name w:val="Hyperlink"/>
    <w:basedOn w:val="DefaultParagraphFont"/>
    <w:uiPriority w:val="99"/>
    <w:semiHidden/>
    <w:unhideWhenUsed/>
    <w:rsid w:val="007833A7"/>
    <w:rPr>
      <w:color w:themeColor="accent4" w:themeShade="BF" w:val="3A6331"/>
      <w:u w:val="single"/>
    </w:rPr>
  </w:style>
  <w:style w:styleId="PlaceholderText" w:type="character">
    <w:name w:val="Placeholder Text"/>
    <w:basedOn w:val="DefaultParagraphFont"/>
    <w:uiPriority w:val="99"/>
    <w:semiHidden/>
    <w:rsid w:val="007833A7"/>
    <w:rPr>
      <w:color w:themeColor="text1" w:themeTint="A6" w:val="595959"/>
    </w:rPr>
  </w:style>
  <w:style w:styleId="IntenseEmphasis" w:type="character">
    <w:name w:val="Intense Emphasis"/>
    <w:basedOn w:val="DefaultParagraphFont"/>
    <w:uiPriority w:val="21"/>
    <w:semiHidden/>
    <w:unhideWhenUsed/>
    <w:qFormat/>
    <w:rsid w:val="00FD262C"/>
    <w:rPr>
      <w:i/>
      <w:iCs/>
      <w:color w:themeColor="accent1" w:themeShade="BF" w:val="B35E06"/>
    </w:rPr>
  </w:style>
  <w:style w:styleId="IntenseQuote" w:type="paragraph">
    <w:name w:val="Intense Quote"/>
    <w:basedOn w:val="Normal"/>
    <w:next w:val="Normal"/>
    <w:link w:val="IntenseQuoteChar"/>
    <w:uiPriority w:val="30"/>
    <w:semiHidden/>
    <w:unhideWhenUsed/>
    <w:rsid w:val="00FD262C"/>
    <w:pPr>
      <w:pBdr>
        <w:top w:color="B35E06" w:space="10" w:sz="4" w:themeColor="accent1" w:themeShade="BF" w:val="single"/>
        <w:bottom w:color="B35E06" w:space="10" w:sz="4" w:themeColor="accent1" w:themeShade="BF" w:val="single"/>
      </w:pBdr>
      <w:spacing w:after="360" w:before="360"/>
      <w:ind w:left="864" w:right="864"/>
      <w:jc w:val="center"/>
    </w:pPr>
    <w:rPr>
      <w:i/>
      <w:iCs/>
      <w:color w:themeColor="accent1" w:themeShade="BF" w:val="B35E06"/>
    </w:rPr>
  </w:style>
  <w:style w:customStyle="1" w:styleId="IntenseQuoteChar" w:type="character">
    <w:name w:val="Intense Quote Char"/>
    <w:basedOn w:val="DefaultParagraphFont"/>
    <w:link w:val="IntenseQuote"/>
    <w:uiPriority w:val="30"/>
    <w:semiHidden/>
    <w:rsid w:val="00FD262C"/>
    <w:rPr>
      <w:i/>
      <w:iCs/>
      <w:color w:themeColor="accent1" w:themeShade="BF" w:val="B35E06"/>
    </w:rPr>
  </w:style>
  <w:style w:styleId="IntenseReference" w:type="character">
    <w:name w:val="Intense Reference"/>
    <w:basedOn w:val="DefaultParagraphFont"/>
    <w:uiPriority w:val="32"/>
    <w:semiHidden/>
    <w:unhideWhenUsed/>
    <w:qFormat/>
    <w:rsid w:val="00FD262C"/>
    <w:rPr>
      <w:b/>
      <w:bCs/>
      <w:caps w:val="0"/>
      <w:smallCaps/>
      <w:color w:themeColor="accent1" w:themeShade="BF" w:val="B35E06"/>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Pavl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design (blank)</Template>
  <TotalTime>1</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
  <cp:keywords/>
  <dcterms:created xsi:type="dcterms:W3CDTF">2024-05-30T14:27:38Z</dcterms:created>
  <dcterms:modified xsi:type="dcterms:W3CDTF">2024-05-30T14:27:38Z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