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81CB" w14:textId="20757C66" w:rsidR="001B178A" w:rsidRDefault="00D14F72">
      <w:r w:rsidRPr="00D14F72">
        <w:drawing>
          <wp:inline distT="0" distB="0" distL="0" distR="0" wp14:anchorId="26409F5E" wp14:editId="77C460CE">
            <wp:extent cx="5731510" cy="47993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860" w14:textId="0ECE41E6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суми продажів по даті</w:t>
      </w:r>
    </w:p>
    <w:p w14:paraId="19C2C33D" w14:textId="1D1FACC3" w:rsidR="00D14F72" w:rsidRDefault="00D14F72" w:rsidP="00D14F72">
      <w:pPr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D5A86" wp14:editId="12568B03">
            <wp:extent cx="5731510" cy="46697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70EE" w14:textId="192BA0E6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кількості продажів по даті</w:t>
      </w:r>
    </w:p>
    <w:p w14:paraId="39C869AD" w14:textId="72F8A705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2C6F84" wp14:editId="57CB3ADD">
            <wp:extent cx="5731510" cy="41059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CAC" w14:textId="37A2B352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медіани вартості </w:t>
      </w:r>
      <w:r>
        <w:rPr>
          <w:rFonts w:ascii="Times New Roman" w:hAnsi="Times New Roman" w:cs="Times New Roman"/>
          <w:sz w:val="28"/>
          <w:szCs w:val="28"/>
        </w:rPr>
        <w:t>нерухомості</w:t>
      </w:r>
      <w:r>
        <w:rPr>
          <w:rFonts w:ascii="Times New Roman" w:hAnsi="Times New Roman" w:cs="Times New Roman"/>
          <w:sz w:val="28"/>
          <w:szCs w:val="28"/>
        </w:rPr>
        <w:t xml:space="preserve"> в залежності </w:t>
      </w:r>
    </w:p>
    <w:p w14:paraId="64F38B6F" w14:textId="01AA846F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року його побудови</w:t>
      </w:r>
    </w:p>
    <w:p w14:paraId="05A74635" w14:textId="24F394A3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59E3F4" wp14:editId="6C8AD3FD">
            <wp:extent cx="5391902" cy="6725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AB45" w14:textId="4F2E2BF0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кількості продажів нерухомості в </w:t>
      </w:r>
    </w:p>
    <w:p w14:paraId="2F99F148" w14:textId="65DD6E01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залежності від типу нерухомості</w:t>
      </w:r>
    </w:p>
    <w:p w14:paraId="1F01DE27" w14:textId="0DE3FC8A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5BF493" wp14:editId="3E2FB644">
            <wp:extent cx="5731510" cy="42722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5F17" w14:textId="43BCFC33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середньої вартості нерухомості в залежності </w:t>
      </w:r>
    </w:p>
    <w:p w14:paraId="7553C65A" w14:textId="77777777" w:rsid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року його побудови</w:t>
      </w:r>
    </w:p>
    <w:p w14:paraId="0CA7DB34" w14:textId="74D3F034" w:rsidR="00D14F72" w:rsidRDefault="00D14F72" w:rsidP="00D1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з графіків найбільша сума продажів і найбільша кількість продажів збіглась в (2012.12) також можна помітити що в саме це число було продан</w:t>
      </w:r>
      <w:r w:rsidR="00D746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найдорожч</w:t>
      </w:r>
      <w:r w:rsidR="00D746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6CB">
        <w:rPr>
          <w:rFonts w:ascii="Times New Roman" w:hAnsi="Times New Roman" w:cs="Times New Roman"/>
          <w:sz w:val="28"/>
          <w:szCs w:val="28"/>
        </w:rPr>
        <w:t>нерухомість</w:t>
      </w:r>
      <w:r>
        <w:rPr>
          <w:rFonts w:ascii="Times New Roman" w:hAnsi="Times New Roman" w:cs="Times New Roman"/>
          <w:sz w:val="28"/>
          <w:szCs w:val="28"/>
        </w:rPr>
        <w:t>. Також можна помітити що найдорожча нерухомі</w:t>
      </w:r>
      <w:r w:rsidR="00D746CB">
        <w:rPr>
          <w:rFonts w:ascii="Times New Roman" w:hAnsi="Times New Roman" w:cs="Times New Roman"/>
          <w:sz w:val="28"/>
          <w:szCs w:val="28"/>
        </w:rPr>
        <w:t>сть побудована в проміжку 1950-2000 рік.</w:t>
      </w:r>
    </w:p>
    <w:p w14:paraId="3E83D7C5" w14:textId="77777777" w:rsidR="00D14F72" w:rsidRPr="00D14F72" w:rsidRDefault="00D14F72" w:rsidP="00D14F7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4F72" w:rsidRPr="00D1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2F"/>
    <w:rsid w:val="0004782F"/>
    <w:rsid w:val="001B178A"/>
    <w:rsid w:val="00D14F72"/>
    <w:rsid w:val="00D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BA65"/>
  <w15:chartTrackingRefBased/>
  <w15:docId w15:val="{005A007F-7612-49C9-B430-3FFA897D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</dc:creator>
  <cp:keywords/>
  <dc:description/>
  <cp:lastModifiedBy>Павло</cp:lastModifiedBy>
  <cp:revision>3</cp:revision>
  <dcterms:created xsi:type="dcterms:W3CDTF">2022-10-06T17:19:00Z</dcterms:created>
  <dcterms:modified xsi:type="dcterms:W3CDTF">2022-10-06T17:30:00Z</dcterms:modified>
</cp:coreProperties>
</file>