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Мои Цели на обучение : </w:t>
        <w:br/>
        <w:t xml:space="preserve">1. Создание узнаваемого личного бренда </w:t>
        <w:br/>
        <w:t xml:space="preserve">2. Новая целевая аудитория для двух проектов </w:t>
        <w:br/>
        <w:t>3. Залетающие Reels</w:t>
        <w:br/>
        <w:t>4. Понимание и реализуемый план по развитию двух проектов в социальных сетях( особенно психологический )</w:t>
        <w:br/>
        <w:t>5. Научиться создавать работающие воронки</w:t>
        <w:br/>
        <w:t xml:space="preserve">Мои Цели на обучение : </w:t>
        <w:br/>
        <w:t xml:space="preserve">1. Создание узнаваемого личного бренда </w:t>
        <w:br/>
        <w:t xml:space="preserve">2. Новая целевая аудитория для двух проектов </w:t>
        <w:br/>
        <w:t>3. Залетающие Reels</w:t>
        <w:br/>
        <w:t>4. Понимание и реализуемый план по развитию двух проектов в социальных сетях( особенно психологический )</w:t>
        <w:br/>
        <w:t>5. Научиться создавать работающие воронки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