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Катя,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пол, доход, профессия.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 (неуверенность, желание признания, выгорание).</w:t>
        <w:br/>
        <w:t>Моя рекомендация: усиливай эмоциональные боли в контенте — например, “страх выглядеть глупой” или “ощущение, что тебя никто не понимает”.</w:t>
        <w:br/>
        <w:br/>
        <w:t>Возражения и страхи</w:t>
        <w:br/>
        <w:br/>
        <w:t>Катя,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действий: консультации, развитие контент-воронок, коллаборации, создание продуктов.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Катя,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Катя,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пол, доход, профессия.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 (неуверенность, желание признания, выгорание).</w:t>
        <w:br/>
        <w:t>Моя рекомендация: усиливай эмоциональные боли в контенте — например, “страх выглядеть глупой” или “ощущение, что тебя никто не понимает”.</w:t>
        <w:br/>
        <w:br/>
        <w:t>Возражения и страхи</w:t>
        <w:br/>
        <w:br/>
        <w:t>Катя,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действий: консультации, развитие контент-воронок, коллаборации, создание продуктов.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Катя,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