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Кира,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два сегмента аудитории и подробно описала их, умничка👍🏻</w:t>
        <w:br/>
        <w:br/>
        <w:br/>
        <w:t>Боли и желания аудитории</w:t>
        <w:br/>
        <w:br/>
        <w:t>Моя рекомендация: усиливай эмоциональные боли в контенте — например, “страх не найти стоящий совет” или “ощущение, что все говорят об одном и том же”.</w:t>
        <w:br/>
        <w:br/>
        <w:t>Возражения и страхи</w:t>
        <w:br/>
        <w:br/>
        <w:t>Кира,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Кира,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Кира,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два сегмента аудитории и подробно описала их, умничка👍🏻</w:t>
        <w:br/>
        <w:br/>
        <w:br/>
        <w:t>Боли и желания аудитории</w:t>
        <w:br/>
        <w:br/>
        <w:t>Моя рекомендация: усиливай эмоциональные боли в контенте — например, “страх не найти стоящий совет” или “ощущение, что все говорят об одном и том же”.</w:t>
        <w:br/>
        <w:br/>
        <w:t>Возражения и страхи</w:t>
        <w:br/>
        <w:br/>
        <w:t>Кира,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Кира,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