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AE70A78" wp14:textId="77777777">
      <w:pPr>
        <w:spacing w:after="40"/>
        <w:jc w:val="left"/>
      </w:pPr>
      <w:r w:rsidRPr="1BD58AA5" w:rsidR="1BD58AA5">
        <w:rPr>
          <w:rFonts w:ascii="Arial" w:hAnsi="Arial" w:eastAsia="Arial" w:cs="Arial"/>
          <w:b w:val="1"/>
          <w:bCs w:val="1"/>
          <w:color w:val="1F6F46"/>
          <w:sz w:val="22"/>
          <w:szCs w:val="22"/>
          <w:lang w:val="en-US"/>
        </w:rPr>
        <w:t>АТ «ОТП БАНК»  ·  Управління інформаційної безпеки</w:t>
      </w:r>
    </w:p>
    <w:p xmlns:wp14="http://schemas.microsoft.com/office/word/2010/wordml" w:rsidP="1BD58AA5" w14:paraId="672A6659" wp14:textId="77777777">
      <w:pPr>
        <w:pBdr>
          <w:bottom w:val="single" w:color="1F6F46" w:sz="6" w:space="1"/>
        </w:pBdr>
        <w:spacing w:after="240"/>
      </w:pPr>
    </w:p>
    <w:p xmlns:wp14="http://schemas.microsoft.com/office/word/2010/wordml" w14:paraId="0C98C093" wp14:textId="77777777">
      <w:pPr>
        <w:spacing w:before="240" w:after="80"/>
      </w:pPr>
      <w:r w:rsidRPr="1BD58AA5" w:rsidR="1BD58AA5">
        <w:rPr>
          <w:rFonts w:ascii="Arial" w:hAnsi="Arial" w:eastAsia="Arial" w:cs="Arial"/>
          <w:b w:val="1"/>
          <w:bCs w:val="1"/>
          <w:color w:val="1A1A1A"/>
          <w:sz w:val="30"/>
          <w:szCs w:val="30"/>
        </w:rPr>
        <w:t>ДОПОВІДЬ</w:t>
      </w:r>
    </w:p>
    <w:p xmlns:wp14="http://schemas.microsoft.com/office/word/2010/wordml" w14:paraId="428B307B" wp14:textId="77777777">
      <w:pPr>
        <w:spacing w:after="200"/>
      </w:pPr>
      <w:r w:rsidRPr="1BD58AA5" w:rsidR="1BD58AA5">
        <w:rPr>
          <w:rFonts w:ascii="Arial" w:hAnsi="Arial" w:eastAsia="Arial" w:cs="Arial"/>
          <w:b w:val="1"/>
          <w:bCs w:val="1"/>
          <w:color w:val="1A1A1A"/>
          <w:sz w:val="26"/>
          <w:szCs w:val="26"/>
          <w:lang w:val="en-US"/>
        </w:rPr>
        <w:t>Практичний кейс управління ризиками та операційною стійкістю систем штучного інтелекту в АТ «ОТП БАНК»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1BD58AA5" w14:paraId="4044C1C4" wp14:textId="77777777">
        <w:trPr>
          <w:tblHeader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39C9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Параметр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59AF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Значення</w:t>
            </w:r>
          </w:p>
        </w:tc>
      </w:tr>
      <w:tr xmlns:wp14="http://schemas.microsoft.com/office/word/2010/wordml" w:rsidTr="1BD58AA5" w14:paraId="752DB0B0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D521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Подія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69B4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Біла книга ШІ (ініціатива НБУ). Трек 5 «Кіберзахист та операційна стійкість». Формат DesignThinking-сесії (~4 год)</w:t>
            </w:r>
          </w:p>
        </w:tc>
      </w:tr>
      <w:tr xmlns:wp14="http://schemas.microsoft.com/office/word/2010/wordml" w:rsidTr="1BD58AA5" w14:paraId="5CB84658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905F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Тема сесії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4260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Вплив систем ШІ на операційну стійкість фінансових установ та управління ІКТ-ризиками</w:t>
            </w:r>
          </w:p>
        </w:tc>
      </w:tr>
      <w:tr xmlns:wp14="http://schemas.microsoft.com/office/word/2010/wordml" w:rsidTr="1BD58AA5" w14:paraId="3E619D83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E108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Місце і час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D61D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Офіс НАБУ; 01.06.2026, 14:00–18:00; офлайн</w:t>
            </w:r>
          </w:p>
        </w:tc>
      </w:tr>
      <w:tr xmlns:wp14="http://schemas.microsoft.com/office/word/2010/wordml" w:rsidTr="1BD58AA5" w14:paraId="072CAF66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E981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Учасники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341A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НАБУ, НБУ, експерти Мінцифри, банки. Модератор — Сергій Бондаренко (Укргазбанк)</w:t>
            </w:r>
          </w:p>
        </w:tc>
      </w:tr>
      <w:tr xmlns:wp14="http://schemas.microsoft.com/office/word/2010/wordml" w:rsidTr="1BD58AA5" w14:paraId="34BCC363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37F9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Спікер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P="1BD58AA5" w14:paraId="5296F003" wp14:textId="3F383FB4">
            <w:pPr>
              <w:pStyle w:val="Normal"/>
              <w:suppressLineNumbers w:val="0"/>
              <w:bidi w:val="0"/>
              <w:spacing w:before="0" w:beforeAutospacing="off" w:after="40" w:afterAutospacing="off" w:line="264" w:lineRule="auto"/>
              <w:ind w:left="0" w:right="0"/>
              <w:jc w:val="left"/>
            </w:pPr>
            <w:r w:rsidRPr="1BD58AA5" w:rsidR="407389B3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Дмитро Янішевський</w:t>
            </w:r>
          </w:p>
        </w:tc>
      </w:tr>
      <w:tr xmlns:wp14="http://schemas.microsoft.com/office/word/2010/wordml" w:rsidTr="1BD58AA5" w14:paraId="4BC93020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57DF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Підготував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25C62" wp14:textId="204390E2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Управління інформаційної безпеки</w:t>
            </w:r>
          </w:p>
        </w:tc>
      </w:tr>
      <w:tr xmlns:wp14="http://schemas.microsoft.com/office/word/2010/wordml" w:rsidTr="1BD58AA5" w14:paraId="7D08EC9D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0951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Класифікація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05A1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Внутрішній робочий матеріал для підготовки до публічного виступу</w:t>
            </w:r>
          </w:p>
        </w:tc>
      </w:tr>
      <w:tr xmlns:wp14="http://schemas.microsoft.com/office/word/2010/wordml" w:rsidTr="1BD58AA5" w14:paraId="629A8552" wp14:textId="77777777">
        <w:trPr>
          <w:tblHeader w:val="false"/>
        </w:trPr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4AC6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Версія / статус</w:t>
            </w:r>
          </w:p>
        </w:tc>
        <w:tc>
          <w:tcPr>
            <w:tcW w:w="66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BDA8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0.1 — драфт для узгодження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BD58AA5" w14:paraId="2B3A6ADA" wp14:textId="77777777">
        <w:tc>
          <w:tcPr>
            <w:tcW w:w="9026" w:type="dxa"/>
            <w:tcBorders>
              <w:top w:val="single" w:color="1F6F46" w:sz="6"/>
              <w:left w:val="single" w:color="1F6F46" w:sz="6"/>
              <w:bottom w:val="single" w:color="1F6F46" w:sz="6"/>
              <w:right w:val="single" w:color="1F6F46" w:sz="6"/>
            </w:tcBorders>
            <w:shd w:val="clear" w:color="auto" w:fill="E8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9D8740" wp14:textId="77777777">
            <w:pPr>
              <w:spacing w:after="60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1F6F46"/>
                <w:sz w:val="21"/>
                <w:szCs w:val="21"/>
              </w:rPr>
              <w:t>Призначення документа</w:t>
            </w:r>
          </w:p>
          <w:p w14:paraId="117EBE26" wp14:textId="77777777">
            <w:pPr>
              <w:spacing w:after="50" w:line="268" w:lineRule="auto"/>
            </w:pPr>
            <w:r w:rsidRPr="1BD58AA5" w:rsidR="1BD58AA5">
              <w:rPr>
                <w:rFonts w:ascii="Arial" w:hAnsi="Arial" w:eastAsia="Arial" w:cs="Arial"/>
                <w:sz w:val="20"/>
                <w:szCs w:val="20"/>
                <w:lang w:val="uk-UA"/>
              </w:rPr>
              <w:t>Це спікерський пакет, а не презентація для роздачі. Він містить: ключові тези, текст доповіді (~12–15 хв), стислий опис каркасу управління ШІ в Банку, майстер-таблицю відповідності питанням сесії, структуру слайдів, відповіді на ймовірні гострі питання, внесок Банку в очікувані результати, чеклист підготовки та глосарій.</w:t>
            </w:r>
          </w:p>
          <w:p w14:paraId="25D2FD09" wp14:textId="77777777">
            <w:pPr>
              <w:spacing w:after="50" w:line="268" w:lineRule="auto"/>
            </w:pP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Усі імена, конкретні назви вендорів і систем у публічному виступі замінюються на узагальнення (див. розділ про конфіденційність). Цей документ розрахований на правки CISO.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67BA5335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Зміст</w:t>
      </w:r>
    </w:p>
    <w:sdt>
      <w:sdtPr>
        <w:id w:val="1067507994"/>
        <w:alias w:val="Зміст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2EB378F" wp14:textId="77777777">
          <w:r>
            <w:fldChar w:fldCharType="end"/>
          </w:r>
        </w:p>
      </w:sdtContent>
    </w:sdt>
    <w:p xmlns:wp14="http://schemas.microsoft.com/office/word/2010/wordml" w14:paraId="6A05A809" wp14:textId="77777777">
      <w:r>
        <w:br w:type="page"/>
      </w:r>
    </w:p>
    <w:p xmlns:wp14="http://schemas.microsoft.com/office/word/2010/wordml" w14:paraId="7A0A1E26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0. Регламент конфіденційності виступу</w:t>
      </w:r>
    </w:p>
    <w:p xmlns:wp14="http://schemas.microsoft.com/office/word/2010/wordml" w14:paraId="13A987C5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Виступ відбувається у зовнішньому форумі за участю регулятора та представників інших банків. Доповідь має демонструвати зрілість підходу Банку, але не розкривати чутливу інформацію. Розмежування нижче — обовʼязкове.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1BD58AA5" w14:paraId="603EA419" wp14:textId="77777777">
        <w:trPr>
          <w:tblHeader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9DC2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МОЖНА розкривати (рівень підходу)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88F4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НЕ МОЖНА розкривати (чутливе)</w:t>
            </w:r>
          </w:p>
        </w:tc>
      </w:tr>
      <w:tr xmlns:wp14="http://schemas.microsoft.com/office/word/2010/wordml" w:rsidTr="1BD58AA5" w14:paraId="55DB8596" wp14:textId="77777777">
        <w:trPr>
          <w:tblHeader w:val="false"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F215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Принципи та каркас управління ШІ (governance), назви власних політик без їх повного тексту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F21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Банківська таємниця, персональні дані клієнтів, дані рахунків і транзакцій</w:t>
            </w:r>
          </w:p>
        </w:tc>
      </w:tr>
      <w:tr xmlns:wp14="http://schemas.microsoft.com/office/word/2010/wordml" w:rsidTr="1BD58AA5" w14:paraId="47E0E756" wp14:textId="77777777">
        <w:trPr>
          <w:tblHeader w:val="false"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E7B0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Опертя на міжнародні стандарти (ISO/IEC 42001, 27001), EU AI Act, DORA, вимоги НБУ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DC61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Назви конкретних вендорів / моделей / внутрішніх систем і версій</w:t>
            </w:r>
          </w:p>
        </w:tc>
      </w:tr>
      <w:tr xmlns:wp14="http://schemas.microsoft.com/office/word/2010/wordml" w:rsidTr="1BD58AA5" w14:paraId="407A369F" wp14:textId="77777777">
        <w:trPr>
          <w:tblHeader w:val="false"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3D23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Логіка життєвого циклу, ролі та принцип розподілу обовʼязків (без П.І.Б.)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3690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Деталі архітектури, схеми мереж, IP-адресація, конфігурації засобів захисту</w:t>
            </w:r>
          </w:p>
        </w:tc>
      </w:tr>
      <w:tr xmlns:wp14="http://schemas.microsoft.com/office/word/2010/wordml" w:rsidTr="1BD58AA5" w14:paraId="03336996" wp14:textId="77777777">
        <w:trPr>
          <w:tblHeader w:val="false"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DB07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Категорії ризиків ШІ та класи контролів (узагальнено)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39E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Кількісні значення ризику, результати внутрішніх тестів і аудитів</w:t>
            </w:r>
          </w:p>
        </w:tc>
      </w:tr>
      <w:tr xmlns:wp14="http://schemas.microsoft.com/office/word/2010/wordml" w:rsidTr="1BD58AA5" w14:paraId="64A1006F" wp14:textId="77777777">
        <w:trPr>
          <w:tblHeader w:val="false"/>
        </w:trPr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5CB7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Узагальнені «уроки» та пропозиції сектору</w:t>
            </w:r>
          </w:p>
        </w:tc>
        <w:tc>
          <w:tcPr>
            <w:tcW w:w="4513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95A6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Деталі реальних інцидентів, індикатори компрометації, дані постачальників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BD58AA5" w14:paraId="10250F0C" wp14:textId="77777777">
        <w:tc>
          <w:tcPr>
            <w:tcW w:w="9026" w:type="dxa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val="clear" w:color="auto" w:fill="FBE9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3AAF1" wp14:textId="77777777">
            <w:pPr>
              <w:spacing w:after="60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C0392B"/>
                <w:sz w:val="21"/>
                <w:szCs w:val="21"/>
                <w:lang w:val="en-US"/>
              </w:rPr>
              <w:t>Правило для спікера</w:t>
            </w:r>
          </w:p>
          <w:p w14:paraId="27DFF844" wp14:textId="25344A55">
            <w:pPr>
              <w:spacing w:after="50" w:line="268" w:lineRule="auto"/>
            </w:pP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Якщо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питання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спонукає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назвати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вендора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систему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конкретний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інцидент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або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цифру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—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відповідаємо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на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рівні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підходу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: «У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Банку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це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регулюється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відповідною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політикою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та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оцінкою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ризику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;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деталі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є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чутливими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і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не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розкриваються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у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відкритому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форматі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».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Це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професійна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норма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, а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не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ухиляння</w:t>
            </w: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7A776C3E" wp14:textId="77777777">
      <w:pPr>
        <w:pStyle w:val="Heading1"/>
      </w:pPr>
      <w:r w:rsidRPr="1BD58AA5" w:rsidR="1BD58AA5">
        <w:rPr>
          <w:rFonts w:ascii="Arial" w:hAnsi="Arial" w:eastAsia="Arial" w:cs="Arial"/>
        </w:rPr>
        <w:t>1. Ключові тези (що захищає спікер)</w:t>
      </w:r>
    </w:p>
    <w:p xmlns:wp14="http://schemas.microsoft.com/office/word/2010/wordml" w14:paraId="01C234F4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</w:rPr>
        <w:t>Шість опорних меседжів. Усе інше у доповіді їх підтверджує.</w:t>
      </w:r>
    </w:p>
    <w:p xmlns:wp14="http://schemas.microsoft.com/office/word/2010/wordml" w14:paraId="123A0135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ШІ — це не новий світ ризику, а нова поверхня вже відомого ризику. </w:t>
      </w:r>
      <w:r w:rsidRPr="1BD58AA5" w:rsidR="1BD58AA5">
        <w:rPr>
          <w:rFonts w:ascii="Arial" w:hAnsi="Arial" w:eastAsia="Arial" w:cs="Arial"/>
          <w:lang w:val="en-US"/>
        </w:rPr>
        <w:t>Ми керуємо ним у наявній системі управління ІКТ- та операційними ризиками й СУІБ (система управління інформаційною безпекою), а не в окремому «силосі».</w:t>
      </w:r>
    </w:p>
    <w:p xmlns:wp14="http://schemas.microsoft.com/office/word/2010/wordml" w14:paraId="1964211B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Security- та resilience-by-design. </w:t>
      </w:r>
      <w:r w:rsidRPr="1BD58AA5" w:rsidR="1BD58AA5">
        <w:rPr>
          <w:rFonts w:ascii="Arial" w:hAnsi="Arial" w:eastAsia="Arial" w:cs="Arial"/>
          <w:lang w:val="en-US"/>
        </w:rPr>
        <w:t>Стійкість і безпека закладаються на етапі задуму через єдиний життєвий цикл ШІ, а не «прикручуються» після впровадження.</w:t>
      </w:r>
    </w:p>
    <w:p xmlns:wp14="http://schemas.microsoft.com/office/word/2010/wordml" w14:paraId="2F28A45C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Найбільший ризик стійкості — концентрація на постачальниках ШІ. </w:t>
      </w:r>
      <w:r w:rsidRPr="1BD58AA5" w:rsidR="1BD58AA5">
        <w:rPr>
          <w:rFonts w:ascii="Arial" w:hAnsi="Arial" w:eastAsia="Arial" w:cs="Arial"/>
          <w:lang w:val="en-US"/>
        </w:rPr>
        <w:t>Залежність від кількох провайдерів GPAI (моделей загального призначення) і хмар — це ризик третьої сторони, який ми оцінюємо до впровадження і покриваємо договором та стратегією виходу.</w:t>
      </w:r>
    </w:p>
    <w:p xmlns:wp14="http://schemas.microsoft.com/office/word/2010/wordml" w14:paraId="639C84B1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Без exit-стратегії впровадження ШІ заборонене. </w:t>
      </w:r>
      <w:r w:rsidRPr="1BD58AA5" w:rsidR="1BD58AA5">
        <w:rPr>
          <w:rFonts w:ascii="Arial" w:hAnsi="Arial" w:eastAsia="Arial" w:cs="Arial"/>
          <w:lang w:val="en-US"/>
        </w:rPr>
        <w:t>Для кожної системи ШІ існує план виведення (withdrawal) і сценарій найгіршого випадку — це наша версія BCP/DRP для ШІ.</w:t>
      </w:r>
    </w:p>
    <w:p xmlns:wp14="http://schemas.microsoft.com/office/word/2010/wordml" w14:paraId="7AA0CC97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Інцидент ШІ — спільна відповідальність Банку і провайдера. </w:t>
      </w:r>
      <w:r w:rsidRPr="1BD58AA5" w:rsidR="1BD58AA5">
        <w:rPr>
          <w:rFonts w:ascii="Arial" w:hAnsi="Arial" w:eastAsia="Arial" w:cs="Arial"/>
          <w:lang w:val="en-US"/>
        </w:rPr>
        <w:t>Узгоджений процес реагування з негайним сповіщенням покриває і збої моделей, і провалені тести стійкості на стороні провайдера.</w:t>
      </w:r>
    </w:p>
    <w:p xmlns:wp14="http://schemas.microsoft.com/office/word/2010/wordml" w14:paraId="671AF86B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DORA — референсна рамка, а не самоціль. </w:t>
      </w:r>
      <w:r w:rsidRPr="1BD58AA5" w:rsidR="1BD58AA5">
        <w:rPr>
          <w:rFonts w:ascii="Arial" w:hAnsi="Arial" w:eastAsia="Arial" w:cs="Arial"/>
          <w:lang w:val="en-US"/>
        </w:rPr>
        <w:t>Як частина європейської групи ми орієнтуємось на DORA при формуванні вимог до ШІ; вимоги НБУ виконуємо як обовʼязкові. Каркас будуємо так, щоб його можна було локалізувати під майбутню гармонізацію.</w:t>
      </w:r>
    </w:p>
    <w:p xmlns:wp14="http://schemas.microsoft.com/office/word/2010/wordml" w14:paraId="24127E7E" wp14:textId="77777777">
      <w:pPr>
        <w:pStyle w:val="Heading1"/>
      </w:pPr>
      <w:r w:rsidRPr="1BD58AA5" w:rsidR="1BD58AA5">
        <w:rPr>
          <w:rFonts w:ascii="Arial" w:hAnsi="Arial" w:eastAsia="Arial" w:cs="Arial"/>
        </w:rPr>
        <w:t>2. Текст доповіді (~12–15 хвилин)</w:t>
      </w:r>
    </w:p>
    <w:p xmlns:wp14="http://schemas.microsoft.com/office/word/2010/wordml" w14:paraId="115B2EB6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i w:val="1"/>
          <w:iCs w:val="1"/>
          <w:color w:val="555555"/>
          <w:lang w:val="en-US"/>
        </w:rPr>
        <w:t>Нижче — звʼязний текст для усного виголошення. Підзаголовки відповідають семи ключовим питанням сесії та слугують навігацією, озвучувати їх не обовʼязково.</w:t>
      </w:r>
    </w:p>
    <w:p xmlns:wp14="http://schemas.microsoft.com/office/word/2010/wordml" w14:paraId="544BA2AA" wp14:textId="77777777">
      <w:pPr>
        <w:pStyle w:val="Heading2"/>
      </w:pPr>
      <w:r w:rsidRPr="1BD58AA5" w:rsidR="1BD58AA5">
        <w:rPr>
          <w:rFonts w:ascii="Arial" w:hAnsi="Arial" w:eastAsia="Arial" w:cs="Arial"/>
        </w:rPr>
        <w:t>Вступ і позиціонування</w:t>
      </w:r>
    </w:p>
    <w:p xmlns:wp14="http://schemas.microsoft.com/office/word/2010/wordml" w:rsidP="1BD58AA5" w14:paraId="47E7D675" wp14:textId="45F20B67">
      <w:pPr>
        <w:pStyle w:val="Normal"/>
        <w:spacing w:after="120" w:line="276" w:lineRule="auto"/>
      </w:pPr>
      <w:r w:rsidRPr="1BD58AA5" w:rsidR="3883F1EB">
        <w:rPr>
          <w:rFonts w:ascii="Arial" w:hAnsi="Arial" w:eastAsia="Arial" w:cs="Arial"/>
          <w:sz w:val="21"/>
          <w:szCs w:val="21"/>
        </w:rPr>
        <w:t xml:space="preserve">Дякую за можливість поділитися практикою. ОТП Банк — частина європейської банківської групи OTP, і це визначає нашу відправну точку: управління штучним інтелектом ми будуємо на тих самих засадах, що й уся група, </w:t>
      </w:r>
      <w:r w:rsidRPr="1BD58AA5" w:rsidR="3883F1EB">
        <w:rPr>
          <w:rFonts w:ascii="Arial" w:hAnsi="Arial" w:eastAsia="Arial" w:cs="Arial"/>
          <w:b w:val="0"/>
          <w:bCs w:val="0"/>
          <w:sz w:val="21"/>
          <w:szCs w:val="21"/>
        </w:rPr>
        <w:t>спираючись на</w:t>
      </w:r>
      <w:r w:rsidRPr="1BD58AA5" w:rsidR="3883F1EB">
        <w:rPr>
          <w:rFonts w:ascii="Arial" w:hAnsi="Arial" w:eastAsia="Arial" w:cs="Arial"/>
          <w:sz w:val="21"/>
          <w:szCs w:val="21"/>
        </w:rPr>
        <w:t xml:space="preserve"> EU AI Act, ISO/IEC 42001:2023 (стандарт системи управління ШІ) та ISO/IEC 27001:2022, і водночас адаптуємо це до українського правового поля та вимог НБУ.</w:t>
      </w:r>
    </w:p>
    <w:p xmlns:wp14="http://schemas.microsoft.com/office/word/2010/wordml" w14:paraId="34D3D974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Наша головна теза проста. Штучний інтелект не створює окремого всесвіту ризиків. Він додає нову поверхню до ризиків, які фінансовий сектор уже вміє контролювати: ІКТ-ризик, операційний ризик, ризик третіх сторін, ризик даних. Тому ми свідомо не будували «окремий» режим для ШІ — ми вбудували його у наявну систему управління ІКТ- та операційними ризиками і в СУІБ. Це і є наш практичний внесок у розмову про операційну стійкість.</w:t>
      </w:r>
    </w:p>
    <w:p xmlns:wp14="http://schemas.microsoft.com/office/word/2010/wordml" w14:paraId="1FF11581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1) Інтеграція ШІ в ІТ-архітектуру та ІКТ-ризики</w:t>
      </w:r>
    </w:p>
    <w:p xmlns:wp14="http://schemas.microsoft.com/office/word/2010/wordml" w14:paraId="467CEC59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Перше, що ми зробили, — встановили правило: жодна система ШІ не зʼявляється в Банку поза процесом. Кожен випадок використання проходить єдиний життєвий цикл — від ідеї та попередньої консультації, через класифікацію ризику за EU AI Act, оцінку, погодження, впровадження за SDLC (життєвим циклом розробки ПЗ) з додатковими вимогами до ШІ, верифікацію, і далі експлуатацію та виведення. Усе фіксується в єдиному реєстрі (каталозі ШІ): призначення, дані, інтеграції, постачальник, рівень ризику, власник ризику, погоджені контролі.</w:t>
      </w:r>
    </w:p>
    <w:p xmlns:wp14="http://schemas.microsoft.com/office/word/2010/wordml" w14:paraId="04FAE85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З погляду архітектури принцип — security-by-design і security-by-default, який у нас закріплений політикою інформаційної безпеки і поширюється в тому числі на сервіси третіх сторін. Для ШІ це означає кілька конкретних речей: ізоляція робочих навантажень і сегментація в логіці Zero Trust; контрольований і журнальований вихідний трафік до зовнішніх ШІ-сервісів із перевіркою правилами DLP (запобігання витоку даних); фільтрація вводу й виводу моделей, зокрема захист від prompt-injection (маніпуляції через зловмисні підказки); і жорстке правило, що банківська таємниця, персональні дані, облікові дані, ключі та вихідний код не передаються в неавторизовані зовнішні ШІ-сервіси. Це нескладні принципи, але саме вони визначають, чи буде система ШІ керованою.</w:t>
      </w:r>
    </w:p>
    <w:p xmlns:wp14="http://schemas.microsoft.com/office/word/2010/wordml" w14:paraId="6E915C8F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2) Залежність від постачальників ШІ та ризик третіх сторін</w:t>
      </w:r>
    </w:p>
    <w:p xmlns:wp14="http://schemas.microsoft.com/office/word/2010/wordml" w14:paraId="49C505D3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Це, на нашу думку, головний виклик операційної стійкості для всього сектору. Сучасний ШІ — це майже завжди зовнішня модель, зовнішня хмара і ланцюг субпідрядників за ними. Виникає концентраційний ризик: кілька провайдерів стають критичною залежністю одразу для багатьох банків.</w:t>
      </w:r>
    </w:p>
    <w:p xmlns:wp14="http://schemas.microsoft.com/office/word/2010/wordml" w14:paraId="1CB96858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Наш підхід: будь-який постачальник ШІ проходить попередню оцінку ризику третьої сторони ще до впровадження, з окремою увагою до всього сервісного ланцюга. Ми вимагаємо договірної прозорості субпідрядників, завчасного повідомлення про суттєві зміни в ланцюзі та права припинити договір, якщо зміна підвищує ризик. Якщо сервіс підтримує критичну або важливу функцію в розумінні DORA — вимоги посилюються, включно з правом контролю з боку наглядового органу. Для моделей загального призначення ми додатково вимагаємо декларацію відповідності, регулярну переоцінку ризику та постійний моніторинг.</w:t>
      </w:r>
    </w:p>
    <w:p xmlns:wp14="http://schemas.microsoft.com/office/word/2010/wordml" w14:paraId="622021ED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3) Реагування на інциденти ШІ</w:t>
      </w:r>
    </w:p>
    <w:p xmlns:wp14="http://schemas.microsoft.com/office/word/2010/wordml" w14:paraId="1D1719EF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Інцидент, повʼязаний із ШІ, ми трактуємо в межах наявного процесу управління інцидентами інформаційної безпеки, але з двома акцентами. По-перше, це спільна відповідальність Банку як deployer (того, хто впроваджує) і провайдера: Банк має бути повідомлений без зволікань про будь-який інцидент на боці провайдера, що нас зачіпає. По-друге, ми свідомо розширюємо поняття «інцидент» — нас цікавлять не лише прямі атаки, а й провалені тести (зокрема тести аварійного відновлення і безпеки) на боці провайдера, бо вони сигналізують про майбутню загрозу стійкості. Специфіка ШІ — у типах подій: деградація якості моделі, дрейф, отруєння даних, змагальні атаки, витік моделі. Тому для них потрібні власні індикатори виявлення, а не лише класичний моніторинг доступності.</w:t>
      </w:r>
    </w:p>
    <w:p xmlns:wp14="http://schemas.microsoft.com/office/word/2010/wordml" w14:paraId="0652FC2B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4) Включення ШІ до BCP / DRP</w:t>
      </w:r>
    </w:p>
    <w:p xmlns:wp14="http://schemas.microsoft.com/office/word/2010/wordml" w14:paraId="6F2756DF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Тут наш принцип категоричний: впровадження ШІ без стратегії виходу не погоджується. Для кожної системи ШІ ми визначаємо план виведення — з покроковою дорожньою картою, ролями сторін, тестовими сценаріями і, що важливо, сценарієм найгіршого випадку (worst-case playbook). Окремо ми тестуємо найнебезпечніший для стійкості сценарій — припинення підтримки з боку виробника, особливо для моделей, які потребують регулярного перенавчання.</w:t>
      </w:r>
    </w:p>
    <w:p xmlns:wp14="http://schemas.microsoft.com/office/word/2010/wordml" w14:paraId="3A2AC2B4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Практично це означає технічну надмірність і резервні плани для систем високого ризику, збереження можливості відновити дані й перевести сервіс до іншого провайдера або в локальну експлуатацію, а також тестування відновлення з резервної копії. Тобто ШІ не отримує «пільгового режиму» у безперервності бізнесу — він підпорядковується тій самій дисципліні, що й критичні банківські системи.</w:t>
      </w:r>
    </w:p>
    <w:p xmlns:wp14="http://schemas.microsoft.com/office/word/2010/wordml" w14:paraId="519F0CCA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5) Тестування операційної стійкості моделей</w:t>
      </w:r>
    </w:p>
    <w:p xmlns:wp14="http://schemas.microsoft.com/office/word/2010/wordml" w14:paraId="6103B125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EU AI Act прямо вимагає, щоб системи ШІ мали належний рівень точності, стабільності та кіберстійкості протягом усього життєвого циклу. Ми перекладаємо це в конкретні перевірки. До введення в експлуатацію — безпекове тестування з документованими результатами. У ході експлуатації — післявпроваджувальний моніторинг продуктивності, контроль концептуального дрейфу та деградації моделі, управління зворотними звʼязками (feedback loops), щоб упереджені результати не отруювали майбутні рішення.</w:t>
      </w:r>
    </w:p>
    <w:p xmlns:wp14="http://schemas.microsoft.com/office/word/2010/wordml" w14:paraId="3E7386CE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Окремий клас — стійкість до атак, специфічних для ШІ: отруєння навчальних даних, отруєння моделі, змагальні приклади та prompt-hacking, атаки на конфіденційність і реверс-інжиніринг моделі. Під кожне з цього передбачені запобіжні заходи, а доступ до систем ШІ журналюється з тривалим зберіганням логів. Стійкість моделі для нас — це не разова валідація, а безперервний контроль із чіткими тригерами повторної оцінки ризику при зміні версії, даних чи постачальника.</w:t>
      </w:r>
    </w:p>
    <w:p xmlns:wp14="http://schemas.microsoft.com/office/word/2010/wordml" w14:paraId="198FE83B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Окремо розвиваємо напрям контрольованого red-teaming для генеративних моделей — структуроване «етичне» тестування на стійкість, коли ми навмисно намагаємося зламати модель у безпечному середовищі. Сценарії: обхід захисних механізмів (guardrails) і jailbreak, вилучення системних інструкцій або навчальних даних через підказки, перевірка на витік чутливої інформації у відповідях, стійкість до отруєння й змагальних прикладів, спроби реверсу моделі. Щоб тестування було повторюваним і зіставним, ми спираємось на публічні рамки — OWASP Top 10 для застосунків з LLM (великими мовними моделями), MITRE ATLAS (база тактик і технік атак на системи ШІ) і NIST AI RMF (рамка управління ризиками ШІ). Для зовнішніх моделей, де ми не маємо доступу «всередину», це чорноскринькове тестування плюс договірна вимога доказів тестування від провайдера. Результати йдуть у AI Risk Working Group і, за потреби, у процес реагування на інциденти. Саме цей напрям ми пропонуємо посилювати спільно як сектор.</w:t>
      </w:r>
    </w:p>
    <w:p xmlns:wp14="http://schemas.microsoft.com/office/word/2010/wordml" w14:paraId="4C87D7C9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6) Відповідність підходам DORA</w:t>
      </w:r>
    </w:p>
    <w:p xmlns:wp14="http://schemas.microsoft.com/office/word/2010/wordml" w14:paraId="5412574E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Як частина європейської групи ми використовуємо DORA як референсну рамку при формуванні вимог до ШІ, а вимоги НБУ виконуємо як обовʼязкові. На практиці наші вимоги вже сформульовані в сумісній логіці: управління ризиком третіх сторін у сфері ІКТ, поняття критичної та важливої функції, права контролю й аудиту, тестування цифрової операційної стійкості та звітування про інциденти. Якщо українське регулювання рухатиметься в бік DORA-подібних вимог, наявний каркас можна буде локалізувати без перебудови з нуля. Ми не претендуємо на завершеність — частина вимог перебуває в імплементації, і це нормальний процес для всього сектору.</w:t>
      </w:r>
    </w:p>
    <w:p xmlns:wp14="http://schemas.microsoft.com/office/word/2010/wordml" w14:paraId="7349B347" wp14:textId="77777777">
      <w:pPr>
        <w:pStyle w:val="Heading2"/>
      </w:pPr>
      <w:r w:rsidRPr="1BD58AA5" w:rsidR="1BD58AA5">
        <w:rPr>
          <w:rFonts w:ascii="Arial" w:hAnsi="Arial" w:eastAsia="Arial" w:cs="Arial"/>
        </w:rPr>
        <w:t>Підсумок і пропозиція сектору</w:t>
      </w:r>
    </w:p>
    <w:p xmlns:wp14="http://schemas.microsoft.com/office/word/2010/wordml" w14:paraId="2439B9FD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</w:rPr>
        <w:t>Якщо звести все до однієї думки: операційна стійкість ШІ досягається не окремими «ШІ-інструментами», а дисципліною — єдиним життєвим циклом, обовʼязковою класифікацією ризику, контролем постачальників, exit-стратегією і безперервним тестуванням стійкості, вбудованими в наявну систему управління ІКТ-ризиками.</w:t>
      </w:r>
    </w:p>
    <w:p xmlns:wp14="http://schemas.microsoft.com/office/word/2010/wordml" w14:paraId="6A1327BE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Сектору ми пропонуємо три речі: спільно визначити перелік критичних ШІ-залежностей фінансового сектору (хто наші спільні «єдині точки відмови»); узгодити мінімальний договірний стандарт для постачальників ШІ (прозорість ланцюга, право аудиту, сповіщення про інциденти, умови виходу); і домовитися про спільну таксономію інцидентів ШІ для обміну сигналами. ОТП Банк готовий долучитися до цієї роботи. Дякую.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60A9930C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3. Практичний кейс ОТП: каркас управління ШІ (опорно для слайдів і Q&amp;A)</w:t>
      </w:r>
    </w:p>
    <w:p xmlns:wp14="http://schemas.microsoft.com/office/word/2010/wordml" w14:paraId="37FF1BE7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</w:rPr>
        <w:t>Розділ для впевненого володіння матеріалом. У публічному виступі — на рівні підходу, без внутрішніх деталей.</w:t>
      </w:r>
    </w:p>
    <w:p xmlns:wp14="http://schemas.microsoft.com/office/word/2010/wordml" w14:paraId="21CEC888" wp14:textId="77777777">
      <w:pPr>
        <w:pStyle w:val="Heading2"/>
      </w:pPr>
      <w:r w:rsidRPr="1BD58AA5" w:rsidR="1BD58AA5">
        <w:rPr>
          <w:rFonts w:ascii="Arial" w:hAnsi="Arial" w:eastAsia="Arial" w:cs="Arial"/>
        </w:rPr>
        <w:t>3.1 Нормативний каркас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1BD58AA5" w14:paraId="3632558D" wp14:textId="77777777">
        <w:trPr>
          <w:tblHeader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49A8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Документ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2181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Роль у кейсі</w:t>
            </w:r>
          </w:p>
        </w:tc>
      </w:tr>
      <w:tr xmlns:wp14="http://schemas.microsoft.com/office/word/2010/wordml" w:rsidTr="1BD58AA5" w14:paraId="35DF0CA6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76ED28E7" w:rsidP="1BD58AA5" w:rsidRDefault="76ED28E7" w14:paraId="74AB598A" w14:textId="576FB397">
            <w:pPr>
              <w:pStyle w:val="Normal"/>
              <w:spacing w:after="40" w:line="264" w:lineRule="auto"/>
            </w:pPr>
            <w:r w:rsidRPr="1BD58AA5" w:rsidR="76ED28E7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OTP Group:</w:t>
            </w:r>
            <w:r w:rsidRPr="1BD58AA5" w:rsidR="6C21BD3D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 xml:space="preserve"> </w:t>
            </w:r>
            <w:r w:rsidRPr="1BD58AA5" w:rsidR="6C21BD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CEO Order No. 118/2025 Version: 1 Policy of OTP Bank Plc. and the OTP Group on the use of Artificial Intelligence Systems in banking</w:t>
            </w:r>
          </w:p>
          <w:p w14:paraId="70F7AA2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Групова політика використання систем ШІ в банкінгу (118/2025) + Implementation Guide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A9EC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Базова рамка: governance, ролі, класифікація ризику за EU AI Act, життєвий цикл, етика, реєстр ШІ</w:t>
            </w:r>
          </w:p>
        </w:tc>
      </w:tr>
      <w:tr xmlns:wp14="http://schemas.microsoft.com/office/word/2010/wordml" w:rsidTr="1BD58AA5" w14:paraId="21C1B3F9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203A5A79" w:rsidP="1BD58AA5" w:rsidRDefault="203A5A79" w14:paraId="2D255211" w14:textId="6EA572C3">
            <w:pPr>
              <w:pStyle w:val="Normal"/>
              <w:spacing w:after="40" w:line="264" w:lineRule="auto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1BD58AA5" w:rsidR="203A5A79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OTP Group:</w:t>
            </w:r>
            <w:r w:rsidRPr="1BD58AA5" w:rsidR="203A5A7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 xml:space="preserve"> CEO Order No. 337/2025 Version: 1 Security requirements for the use of AI Systems in banking</w:t>
            </w:r>
          </w:p>
          <w:p w14:paraId="0B4A4A0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Безпекові вимоги до використання ШІ (337/2025), чинні з 16.09.2025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551F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Безпековий рівень для систем ШІ на весь життєвий цикл: контроль ланцюга постачання, інциденти, логування, виведення, GPAI</w:t>
            </w:r>
          </w:p>
        </w:tc>
      </w:tr>
      <w:tr xmlns:wp14="http://schemas.microsoft.com/office/word/2010/wordml" w:rsidTr="1BD58AA5" w14:paraId="67F83996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P="1BD58AA5" w14:paraId="03D95DAE" wp14:textId="3C4556E2">
            <w:pPr>
              <w:pStyle w:val="Normal"/>
              <w:spacing w:after="40" w:line="264" w:lineRule="auto"/>
            </w:pPr>
            <w:r w:rsidRPr="1BD58AA5" w:rsidR="20037BA8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OTP Group:</w:t>
            </w:r>
            <w:r w:rsidRPr="1BD58AA5" w:rsidR="20037B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 xml:space="preserve"> </w:t>
            </w:r>
          </w:p>
          <w:p w:rsidP="1BD58AA5" w14:paraId="3B24E69E" wp14:textId="5F092881">
            <w:pPr>
              <w:pStyle w:val="Normal"/>
              <w:spacing w:after="40" w:line="264" w:lineRule="auto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BD58AA5" w:rsidR="5832A29B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1"/>
                <w:szCs w:val="21"/>
              </w:rPr>
              <w:t>118/2025 Appendix 1 Risk assessment of the Artificial Intelligence system</w:t>
            </w:r>
          </w:p>
          <w:p w:rsidP="1BD58AA5" w14:paraId="17C339D0" wp14:textId="5E982169">
            <w:pPr>
              <w:pStyle w:val="Normal"/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Додаток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1 — методика оцінки 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ризику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ШІ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A2D1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Кількісно-якісна оцінка на базі ISO/IEC 42001:2023 (Annex A) та ISO/IEC 27001:2022; загрози промаповані на фази життєвого циклу ШІ</w:t>
            </w:r>
          </w:p>
        </w:tc>
      </w:tr>
      <w:tr xmlns:wp14="http://schemas.microsoft.com/office/word/2010/wordml" w:rsidTr="1BD58AA5" w14:paraId="4134CA26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P="1BD58AA5" w14:paraId="3A793FD0" wp14:textId="609241A1">
            <w:pPr>
              <w:pStyle w:val="Normal"/>
              <w:spacing w:after="40" w:line="264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1BD58AA5" w:rsidR="34F42C49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OTP Group:</w:t>
            </w:r>
            <w:r w:rsidRPr="1BD58AA5" w:rsidR="34F42C4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 xml:space="preserve"> </w:t>
            </w:r>
          </w:p>
          <w:p w:rsidP="1BD58AA5" w14:paraId="3D80151C" wp14:textId="3C156CDA">
            <w:pPr>
              <w:pStyle w:val="Normal"/>
              <w:suppressLineNumbers w:val="0"/>
              <w:bidi w:val="0"/>
              <w:spacing w:before="0" w:beforeAutospacing="off" w:after="40" w:afterAutospacing="off" w:line="264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</w:pPr>
            <w:r w:rsidRPr="1BD58AA5" w:rsidR="5FB09776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118/2025 Appendix 3 Life cycle of the Artificial Intelligence system</w:t>
            </w:r>
          </w:p>
          <w:p w:rsidP="1BD58AA5" w14:paraId="183B29CF" wp14:textId="26F0FFC7">
            <w:pPr>
              <w:pStyle w:val="Normal"/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Додаток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3 — 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життєвий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цикл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ШІ; </w:t>
            </w:r>
          </w:p>
          <w:p w:rsidP="1BD58AA5" w14:paraId="6A55D36A" wp14:textId="67CCDBB9">
            <w:pPr>
              <w:pStyle w:val="Normal"/>
              <w:spacing w:after="40" w:line="264" w:lineRule="auto"/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</w:pPr>
            <w:r w:rsidRPr="1BD58AA5" w:rsidR="67BD6E2F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AI_Taxonomy</w:t>
            </w:r>
          </w:p>
          <w:p w:rsidP="1BD58AA5" w14:paraId="2A2F7E1F" wp14:textId="54EA337B">
            <w:pPr>
              <w:pStyle w:val="Normal"/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Додаток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5 — 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таксономія</w:t>
            </w: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 xml:space="preserve"> ШІ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918E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Єдиний процес від ідеї до виведення; спільна мова ризиків і понять</w:t>
            </w:r>
          </w:p>
        </w:tc>
      </w:tr>
      <w:tr xmlns:wp14="http://schemas.microsoft.com/office/word/2010/wordml" w:rsidTr="1BD58AA5" w14:paraId="617D2724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6469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Локальні ролі (OTP Bank Ukraine)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2672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Локалізація групових ролей під структуру Банку та вимоги НБУ</w:t>
            </w:r>
          </w:p>
        </w:tc>
      </w:tr>
      <w:tr xmlns:wp14="http://schemas.microsoft.com/office/word/2010/wordml" w:rsidTr="1BD58AA5" w14:paraId="5D06D3B2" wp14:textId="77777777">
        <w:trPr>
          <w:tblHeader w:val="false"/>
        </w:trPr>
        <w:tc>
          <w:tcPr>
            <w:tcW w:w="3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3B69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Політика ІБ АТ «ОТП БАНК», СУІБ (ДСТУ ISO/IEC 27001:2023 / ISO/IEC 27001:2022)</w:t>
            </w:r>
          </w:p>
        </w:tc>
        <w:tc>
          <w:tcPr>
            <w:tcW w:w="60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A253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Security-by-design / by-default, контроль постачальників, ризик-орієнтований підхід</w:t>
            </w:r>
          </w:p>
        </w:tc>
      </w:tr>
    </w:tbl>
    <w:p xmlns:wp14="http://schemas.microsoft.com/office/word/2010/wordml" w14:paraId="6070FC51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3.2 Життєвий цикл ШІ (єдина «магістраль»)</w:t>
      </w:r>
    </w:p>
    <w:p xmlns:wp14="http://schemas.microsoft.com/office/word/2010/wordml" w14:paraId="177E267A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>Планування → Підготовка → Закупівля/QBR → Впровадження (SDLC + ШІ-вимоги) → Верифікація → Реліз → Експлуатація → Виведення (Phase-out)</w:t>
      </w:r>
    </w:p>
    <w:p xmlns:wp14="http://schemas.microsoft.com/office/word/2010/wordml" w14:paraId="7923FF8F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lang w:val="en-US"/>
        </w:rPr>
        <w:t>На вході — попередня класифікація: чи це ШІ, чи зачіпає персональні дані, чи потрібна технологія поза банківським стандартом (тоді — GTAB, Group Technology Advisory Board).</w:t>
      </w:r>
    </w:p>
    <w:p xmlns:wp14="http://schemas.microsoft.com/office/word/2010/wordml" w14:paraId="66B2F21D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Закупівля — з ШІ-специфічною оцінкою постачальника (QBR, Quarterly Business Review / огляд постачальника) та класифікацією субпідрядників.</w:t>
      </w:r>
    </w:p>
    <w:p xmlns:wp14="http://schemas.microsoft.com/office/word/2010/wordml" w14:paraId="207697B1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Реєстрація кожного кроку в каталозі ШІ; зміни моделі/даних — тригер повторної оцінки ризику.</w:t>
      </w:r>
    </w:p>
    <w:p xmlns:wp14="http://schemas.microsoft.com/office/word/2010/wordml" w14:paraId="15F01A82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3.3 Методика оцінки ризику (чим вона сильна для регулятора)</w:t>
      </w:r>
    </w:p>
    <w:p xmlns:wp14="http://schemas.microsoft.com/office/word/2010/wordml" w14:paraId="79C1E411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lang w:val="en-US"/>
        </w:rPr>
        <w:t>Активи ШІ оцінюються за CIA (конфіденційність, цілісність, доступність). Інгерентний ризик = цінність активу × оцінка загрози × вразливість; для критичних активів додається ALE (Annualised Loss Expectancy / очікувані річні втрати).</w:t>
      </w:r>
    </w:p>
    <w:p xmlns:wp14="http://schemas.microsoft.com/office/word/2010/wordml" w14:paraId="3B64F97B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Каталог загроз промаповано на фази життєвого циклу ШІ (Design / Develop / Deploy / Maintain) — напр., «Model Decay &amp; Concept Drift» на фазі експлуатації.</w:t>
      </w:r>
    </w:p>
    <w:p xmlns:wp14="http://schemas.microsoft.com/office/word/2010/wordml" w14:paraId="268D2F14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Контролі беруться з ISO/IEC 42001:2023 (Annex A) та ISO/IEC 27001:2022 (Annex A) — від політик і розподілу обовʼязків до якості даних, провенансу, логування подій і управління постачальниками.</w:t>
      </w:r>
    </w:p>
    <w:p xmlns:wp14="http://schemas.microsoft.com/office/word/2010/wordml" w14:paraId="04221CD8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3.4 Ролі та відповідальність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26"/>
        <w:gridCol w:w="2300"/>
      </w:tblGrid>
      <w:tr xmlns:wp14="http://schemas.microsoft.com/office/word/2010/wordml" w:rsidTr="1BD58AA5" w14:paraId="7141F8A9" wp14:textId="77777777">
        <w:trPr>
          <w:tblHeader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71FA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Роль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6DFD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Відповідальність (стисло)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31ED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Спадковість</w:t>
            </w:r>
          </w:p>
        </w:tc>
      </w:tr>
      <w:tr xmlns:wp14="http://schemas.microsoft.com/office/word/2010/wordml" w:rsidTr="1BD58AA5" w14:paraId="61645338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A8AB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Office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3CD3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Координація governance ШІ на весь життєвий цикл, методологія, реєстр, навчання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B43A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Локалізовано з Group</w:t>
            </w:r>
          </w:p>
        </w:tc>
      </w:tr>
      <w:tr xmlns:wp14="http://schemas.microsoft.com/office/word/2010/wordml" w:rsidTr="1BD58AA5" w14:paraId="5BE43A05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36D4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Risk Working Group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3556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Класифікація і оцінка ризику за EU AI Act, погодження мінімальних контролів, тригери переоцінки; засідання ≥ щокварталу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0BEB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Локалізовано з Group</w:t>
            </w:r>
          </w:p>
        </w:tc>
      </w:tr>
      <w:tr xmlns:wp14="http://schemas.microsoft.com/office/word/2010/wordml" w:rsidTr="1BD58AA5" w14:paraId="5FA35750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1A71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AI officer (центральний)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33C4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Ведення реєстру ШІ, консолідація матеріалів, «єдине вікно» погоджень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ED63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Локалізовано з Group</w:t>
            </w:r>
          </w:p>
        </w:tc>
      </w:tr>
      <w:tr xmlns:wp14="http://schemas.microsoft.com/office/word/2010/wordml" w:rsidTr="1BD58AA5" w14:paraId="792180E9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1612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Risk Owner (на кожну систему)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C0E8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Прийнятність ризику конкретної системи ШІ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353D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Вимога Group</w:t>
            </w:r>
          </w:p>
        </w:tc>
      </w:tr>
      <w:tr xmlns:wp14="http://schemas.microsoft.com/office/word/2010/wordml" w:rsidTr="1BD58AA5" w14:paraId="6F7CE448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9588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ICT officer / IT System Owner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F2CB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Експлуатація, доступи, логування, резервне копіювання, ІБ системи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B5D2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Наявна роль</w:t>
            </w:r>
          </w:p>
        </w:tc>
      </w:tr>
      <w:tr xmlns:wp14="http://schemas.microsoft.com/office/word/2010/wordml" w:rsidTr="1BD58AA5" w14:paraId="01736B15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0F21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CISO / Управління ІБ, DPO, Legal/Compliance</w:t>
            </w:r>
          </w:p>
        </w:tc>
        <w:tc>
          <w:tcPr>
            <w:tcW w:w="44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BA99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Безпекові вимоги, захист даних, юридична відповідність; учасники погоджень</w:t>
            </w:r>
          </w:p>
        </w:tc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B17B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Наявні функції</w:t>
            </w:r>
          </w:p>
        </w:tc>
      </w:tr>
    </w:tbl>
    <w:p xmlns:wp14="http://schemas.microsoft.com/office/word/2010/wordml" w14:paraId="7663FE58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3.5 Програма тестування операційної стійкості моделей (поглиблено)</w:t>
      </w:r>
    </w:p>
    <w:p xmlns:wp14="http://schemas.microsoft.com/office/word/2010/wordml" w14:paraId="72D9D54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Тестування стійкості — не разова валідація перед релізом, а трирівнева безперервна програма.</w:t>
      </w:r>
    </w:p>
    <w:p xmlns:wp14="http://schemas.microsoft.com/office/word/2010/wordml" w14:paraId="4DB65C75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Передрелізне безпекове тестування. </w:t>
      </w:r>
      <w:r w:rsidRPr="1BD58AA5" w:rsidR="1BD58AA5">
        <w:rPr>
          <w:rFonts w:ascii="Arial" w:hAnsi="Arial" w:eastAsia="Arial" w:cs="Arial"/>
          <w:lang w:val="en-US"/>
        </w:rPr>
        <w:t>До введення в експлуатацію — з документованими тест-звітами; перевірка точності, стабільності та кіберстійкості; критерії приймання.</w:t>
      </w:r>
    </w:p>
    <w:p xmlns:wp14="http://schemas.microsoft.com/office/word/2010/wordml" w14:paraId="248413BD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Післявпроваджувальний моніторинг. </w:t>
      </w:r>
      <w:r w:rsidRPr="1BD58AA5" w:rsidR="1BD58AA5">
        <w:rPr>
          <w:rFonts w:ascii="Arial" w:hAnsi="Arial" w:eastAsia="Arial" w:cs="Arial"/>
          <w:lang w:val="en-US"/>
        </w:rPr>
        <w:t>Контроль продуктивності, концептуального дрейфу й деградації моделі, управління feedback loops; визначені метрики й пороги.</w:t>
      </w:r>
    </w:p>
    <w:p xmlns:wp14="http://schemas.microsoft.com/office/word/2010/wordml" w14:paraId="16C1C70C" wp14:textId="77777777">
      <w:pPr>
        <w:pStyle w:val="ListParagraph"/>
        <w:numPr>
          <w:ilvl w:val="0"/>
          <w:numId w:val="2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Періодичний red-teaming / adversarial testing. </w:t>
      </w:r>
      <w:r w:rsidRPr="1BD58AA5" w:rsidR="1BD58AA5">
        <w:rPr>
          <w:rFonts w:ascii="Arial" w:hAnsi="Arial" w:eastAsia="Arial" w:cs="Arial"/>
          <w:lang w:val="en-US"/>
        </w:rPr>
        <w:t>Контрольоване «етичне» тестування на злам у безпечному середовищі; для зовнішніх моделей — чорноскринькове + докази тестування від провайдера.</w:t>
      </w:r>
    </w:p>
    <w:p xmlns:wp14="http://schemas.microsoft.com/office/word/2010/wordml" w14:paraId="20C5A071" wp14:textId="77777777">
      <w:pPr>
        <w:pStyle w:val="Heading3"/>
      </w:pPr>
      <w:r w:rsidRPr="1BD58AA5" w:rsidR="1BD58AA5">
        <w:rPr>
          <w:rFonts w:ascii="Arial" w:hAnsi="Arial" w:eastAsia="Arial" w:cs="Arial"/>
          <w:lang w:val="en-US"/>
        </w:rPr>
        <w:t>Що саме тестуємо (класи атак на ШІ)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326"/>
        <w:gridCol w:w="3150"/>
      </w:tblGrid>
      <w:tr xmlns:wp14="http://schemas.microsoft.com/office/word/2010/wordml" w:rsidTr="1BD58AA5" w14:paraId="14BD162F" wp14:textId="77777777">
        <w:trPr>
          <w:tblHeader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4E4B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Клас атаки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4516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Суть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59FA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Перевірка / контроль</w:t>
            </w:r>
          </w:p>
        </w:tc>
      </w:tr>
      <w:tr xmlns:wp14="http://schemas.microsoft.com/office/word/2010/wordml" w:rsidTr="1BD58AA5" w14:paraId="07F1ED6F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6581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Prompt injection / jailbreak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3152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Маніпуляція підказками для обходу інструкцій і захисту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44B2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Тести обходу guardrails; фільтрація вводу; ізоляція системних промптів</w:t>
            </w:r>
          </w:p>
        </w:tc>
      </w:tr>
      <w:tr xmlns:wp14="http://schemas.microsoft.com/office/word/2010/wordml" w:rsidTr="1BD58AA5" w14:paraId="349B07A5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0150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Data / model poisoning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2101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Отруєння навчальних даних або предтренованих компонент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AD10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Контроль провенансу й якості даних; довірені джерела; перевірка цілісності моделі</w:t>
            </w:r>
          </w:p>
        </w:tc>
      </w:tr>
      <w:tr xmlns:wp14="http://schemas.microsoft.com/office/word/2010/wordml" w:rsidTr="1BD58AA5" w14:paraId="48E8353C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F32F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Adversarial / evasion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7B5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Вхід, що навмисно спричиняє помилку моделі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86CE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Стрес-тести стійкості; чіткі межі застосування; моніторинг аномалій</w:t>
            </w:r>
          </w:p>
        </w:tc>
      </w:tr>
      <w:tr xmlns:wp14="http://schemas.microsoft.com/office/word/2010/wordml" w:rsidTr="1BD58AA5" w14:paraId="2EED725A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7305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Model extraction / inversion / membership inference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8CA8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Вилучення моделі чи даних серіями запитів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0F7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Rate-limiting; моніторинг аномальних патернів; обмеження доступу (least privilege)</w:t>
            </w:r>
          </w:p>
        </w:tc>
      </w:tr>
      <w:tr xmlns:wp14="http://schemas.microsoft.com/office/word/2010/wordml" w:rsidTr="1BD58AA5" w14:paraId="0703E318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0CA4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Sensitive data leakage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EEEC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Витік чутливих даних у відповідях моделі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5C5E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Фільтрація виводу; DLP; цільові тести на витік</w:t>
            </w:r>
          </w:p>
        </w:tc>
      </w:tr>
      <w:tr xmlns:wp14="http://schemas.microsoft.com/office/word/2010/wordml" w:rsidTr="1BD58AA5" w14:paraId="68955147" wp14:textId="77777777">
        <w:trPr>
          <w:tblHeader w:val="false"/>
        </w:trPr>
        <w:tc>
          <w:tcPr>
            <w:tcW w:w="25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464C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Hallucination / confabulation</w:t>
            </w:r>
          </w:p>
        </w:tc>
        <w:tc>
          <w:tcPr>
            <w:tcW w:w="33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111A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Впевнено хибні відповіді</w:t>
            </w:r>
          </w:p>
        </w:tc>
        <w:tc>
          <w:tcPr>
            <w:tcW w:w="315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7C37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Human oversight; критерії якості; заборона єдиної підстави рішення</w:t>
            </w:r>
          </w:p>
        </w:tc>
      </w:tr>
    </w:tbl>
    <w:p xmlns:wp14="http://schemas.microsoft.com/office/word/2010/wordml" w14:paraId="504F1925" wp14:textId="77777777">
      <w:pPr>
        <w:pStyle w:val="Heading3"/>
      </w:pPr>
      <w:r w:rsidRPr="1BD58AA5" w:rsidR="1BD58AA5">
        <w:rPr>
          <w:rFonts w:ascii="Arial" w:hAnsi="Arial" w:eastAsia="Arial" w:cs="Arial"/>
        </w:rPr>
        <w:t>Рамки, тригери, незалежність</w:t>
      </w:r>
    </w:p>
    <w:p xmlns:wp14="http://schemas.microsoft.com/office/word/2010/wordml" w14:paraId="34BC64C1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Рамки: OWASP Top 10 for LLM Applications, MITRE ATLAS, NIST AI RMF, ISO/IEC 42001:2023 (верифікація та валідація).</w:t>
      </w:r>
    </w:p>
    <w:p xmlns:wp14="http://schemas.microsoft.com/office/word/2010/wordml" w14:paraId="6A5B193F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Тригери повторного тестування: нова версія моделі, зміна навчальних даних, зміна постачальника/інтеграції, відхилення метрик якості або деградація.</w:t>
      </w:r>
    </w:p>
    <w:p xmlns:wp14="http://schemas.microsoft.com/office/word/2010/wordml" w14:paraId="455E151B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</w:rPr>
        <w:t>Незалежність: тестування виконує функція, незалежна від розробника рішення (ІБ / внутрішній red team); результати документуються й ескалюються в AI Risk Working Group.</w:t>
      </w:r>
    </w:p>
    <w:p xmlns:wp14="http://schemas.microsoft.com/office/word/2010/wordml" w14:paraId="521B44F8" wp14:textId="77777777">
      <w:pPr>
        <w:pStyle w:val="ListParagraph"/>
        <w:numPr>
          <w:ilvl w:val="0"/>
          <w:numId w:val="3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lang w:val="en-US"/>
        </w:rPr>
        <w:t>Звʼязок з реагуванням: провалений тест або виявлена вразливість запускають процес управління інцидентами та переоцінку ризику.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1D8A4DA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4. Майстер-таблиця: питання сесії → підхід ОТП → що успадковано / локалізовано / додати</w:t>
      </w:r>
    </w:p>
    <w:p xmlns:wp14="http://schemas.microsoft.com/office/word/2010/wordml" w14:paraId="1398983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Це робоча карта для відповідей. Колонка «Ризик за відсутності» — аргументація для регулятора, чому контроль потрібен.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400"/>
        <w:gridCol w:w="2126"/>
      </w:tblGrid>
      <w:tr xmlns:wp14="http://schemas.microsoft.com/office/word/2010/wordml" w:rsidTr="1BD58AA5" w14:paraId="3B299B01" wp14:textId="77777777">
        <w:trPr>
          <w:tblHeader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F362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Питання сесії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E8A6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Підхід ОТП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0A1D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Успадковано / локалізувати / додати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1DA3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Ризик за відсутності</w:t>
            </w:r>
          </w:p>
        </w:tc>
      </w:tr>
      <w:tr xmlns:wp14="http://schemas.microsoft.com/office/word/2010/wordml" w:rsidTr="1BD58AA5" w14:paraId="42854549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B9D2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Інтеграція ШІ в ІТ-архітектуру та ІКТ-ризики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867F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Єдиний життєвий цикл + каталог ШІ; security/resilience-by-design; Zero Trust-сегментація; DLP-контроль вихідного трафіку; фільтрація вводу/виводу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8837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Group: каркас і lifecycle. Локально: інтеграція з СУІБ та процесами НБУ. Додати: технічні стандарти ШІ-сегментації та egress-контролю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CC40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Тіньовий ШІ (shadow AI), неконтрольований витік даних у зовнішні сервіси, некерована поверхня атаки</w:t>
            </w:r>
          </w:p>
        </w:tc>
      </w:tr>
      <w:tr xmlns:wp14="http://schemas.microsoft.com/office/word/2010/wordml" w:rsidTr="1BD58AA5" w14:paraId="6EA28D6C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570B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Залежність від постачальників ШІ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78B8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Попередня оцінка третьої сторони; контроль сервісного ланцюга; договірна прозорість субпідрядників; посилення для критичних/важливих функцій (DORA)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E323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Group: вимоги до ланцюга. Локально: реєстр критичних ШІ-залежностей. Додати: метрику концентраційного ризику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2818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Концентраційний ризик; раптова втрата сервісу; неможливість аудиту; правовий ризик ланцюга</w:t>
            </w:r>
          </w:p>
        </w:tc>
      </w:tr>
      <w:tr xmlns:wp14="http://schemas.microsoft.com/office/word/2010/wordml" w:rsidTr="1BD58AA5" w14:paraId="23DC84D4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FA06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Управління ризиками третіх сторін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7531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Право аудиту й контролю логів провайдера (договірно); завчасне повідомлення про зміни; право припинення договору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E187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Group + Політика попередньої оцінки ICT-провайдерів. Локально: узгодити з вимогами НБУ щодо аутсорсингу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1029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Втрата прозорості, неможливість реагувати на зміни ризику, наглядові зауваження</w:t>
            </w:r>
          </w:p>
        </w:tc>
      </w:tr>
      <w:tr xmlns:wp14="http://schemas.microsoft.com/office/word/2010/wordml" w:rsidTr="1BD58AA5" w14:paraId="518D4A18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1B92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Реагування на інциденти ШІ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BFAA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Спільний процес Банк+провайдер; негайне сповіщення; розширене поняття інциденту (зокрема провалені DRP/безпекові тести); ШІ-специфічні індикатори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DF28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Group: процес інцидентів ІБ. Локально: ШІ-індикатори, узгодження зі звітуванням НБУ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7671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Пізнє виявлення деградації/отруєння; невиконання вимог сповіщення; каскадні збої</w:t>
            </w:r>
          </w:p>
        </w:tc>
      </w:tr>
      <w:tr xmlns:wp14="http://schemas.microsoft.com/office/word/2010/wordml" w:rsidTr="1BD58AA5" w14:paraId="391976D8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CFD9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Включення ШІ до BCP/DRP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0E6A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Обовʼязковий план виведення (withdrawal) + worst-case playbook; технічна надмірність; тест відновлення; сценарій припинення підтримки вендора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38B7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Group: вимоги до виведення. Локально: інтеграція в наявні BCP/DRP та тести Банку. Додати: RTO/RPO для ШІ-сервісів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7228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Незворотна залежність (lock-in); простій критичних процесів; втрата даних/моделі</w:t>
            </w:r>
          </w:p>
        </w:tc>
      </w:tr>
      <w:tr xmlns:wp14="http://schemas.microsoft.com/office/word/2010/wordml" w:rsidTr="1BD58AA5" w14:paraId="518F9CBB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3105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Тестування стійкості моделей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06A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Трирівнева програма: передрелізне тестування → моніторинг (дрейф/деградація) → red-teaming GenAI; рамки OWASP LLM / MITRE ATLAS / NIST AI RMF; логування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CE3A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 + ISO/IEC 42001. Локально: програма періодичного red-teaming і незалежне тестування. Додати: метрики та критерії приймання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116C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Помилкові рішення, упередженість, експлуатація вразливостей моделі, репутаційний і регуляторний удар</w:t>
            </w:r>
          </w:p>
        </w:tc>
      </w:tr>
      <w:tr xmlns:wp14="http://schemas.microsoft.com/office/word/2010/wordml" w:rsidTr="1BD58AA5" w14:paraId="48DBE850" wp14:textId="77777777">
        <w:trPr>
          <w:tblHeader w:val="false"/>
        </w:trPr>
        <w:tc>
          <w:tcPr>
            <w:tcW w:w="19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ADDE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Відповідність DORA</w:t>
            </w:r>
          </w:p>
        </w:tc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FCF2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DORA як референсна рамка групи; вимоги до ШІ сформульовані в сумісній логіці (третя сторона, критичні функції, тестування стійкості, звітування)</w:t>
            </w:r>
          </w:p>
        </w:tc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1DD3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Group: орієнтир на DORA. Локально: маппінг на чинні вимоги НБУ та майбутню гармонізацію</w:t>
            </w:r>
          </w:p>
        </w:tc>
        <w:tc>
          <w:tcPr>
            <w:tcW w:w="21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4526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Розрив із груповою рамкою; подвійна робота при гармонізації регулювання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381375B" wp14:textId="77777777">
      <w:pPr>
        <w:pStyle w:val="Heading1"/>
      </w:pPr>
      <w:r w:rsidRPr="1BD58AA5" w:rsidR="1BD58AA5">
        <w:rPr>
          <w:rFonts w:ascii="Arial" w:hAnsi="Arial" w:eastAsia="Arial" w:cs="Arial"/>
        </w:rPr>
        <w:t>5. Структура слайдів (10–12 слайдів)</w:t>
      </w:r>
    </w:p>
    <w:p xmlns:wp14="http://schemas.microsoft.com/office/word/2010/wordml" w14:paraId="6F1B9A54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1 — Титул. </w:t>
      </w:r>
      <w:r w:rsidRPr="1BD58AA5" w:rsidR="1BD58AA5">
        <w:rPr>
          <w:rFonts w:ascii="Arial" w:hAnsi="Arial" w:eastAsia="Arial" w:cs="Arial"/>
        </w:rPr>
        <w:t>Тема, спікер, подія. Один рядок-меседж: «ШІ — нова поверхня відомого ризику»</w:t>
      </w:r>
    </w:p>
    <w:p xmlns:wp14="http://schemas.microsoft.com/office/word/2010/wordml" w14:paraId="656AEE7F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2 — Позиціонування ОТП. </w:t>
      </w:r>
      <w:r w:rsidRPr="1BD58AA5" w:rsidR="1BD58AA5">
        <w:rPr>
          <w:rFonts w:ascii="Arial" w:hAnsi="Arial" w:eastAsia="Arial" w:cs="Arial"/>
        </w:rPr>
        <w:t>Частина EU-групи → EU AI Act + ISO/IEC 42001/27001 + DORA-by-default; локалізація під НБУ</w:t>
      </w:r>
    </w:p>
    <w:p xmlns:wp14="http://schemas.microsoft.com/office/word/2010/wordml" w14:paraId="5D03B2F2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3 — Принцип. </w:t>
      </w:r>
      <w:r w:rsidRPr="1BD58AA5" w:rsidR="1BD58AA5">
        <w:rPr>
          <w:rFonts w:ascii="Arial" w:hAnsi="Arial" w:eastAsia="Arial" w:cs="Arial"/>
        </w:rPr>
        <w:t>Не окремий «силос» для ШІ, а вбудовування в СУІБ та управління ІКТ/опер. ризиками</w:t>
      </w:r>
    </w:p>
    <w:p xmlns:wp14="http://schemas.microsoft.com/office/word/2010/wordml" w14:paraId="0FFBF5C3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4 — Життєвий цикл ШІ. </w:t>
      </w:r>
      <w:r w:rsidRPr="1BD58AA5" w:rsidR="1BD58AA5">
        <w:rPr>
          <w:rFonts w:ascii="Arial" w:hAnsi="Arial" w:eastAsia="Arial" w:cs="Arial"/>
        </w:rPr>
        <w:t>Магістраль від ідеї до виведення + каталог ШІ (схема-стрічка)</w:t>
      </w:r>
    </w:p>
    <w:p xmlns:wp14="http://schemas.microsoft.com/office/word/2010/wordml" w14:paraId="3C9A8C4E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5 — Архітектура / security-by-design. </w:t>
      </w:r>
      <w:r w:rsidRPr="1BD58AA5" w:rsidR="1BD58AA5">
        <w:rPr>
          <w:rFonts w:ascii="Arial" w:hAnsi="Arial" w:eastAsia="Arial" w:cs="Arial"/>
        </w:rPr>
        <w:t>Zero Trust-сегментація, egress+DLP, фільтрація вводу/виводу, заборона передачі чутливих даних</w:t>
      </w:r>
    </w:p>
    <w:p xmlns:wp14="http://schemas.microsoft.com/office/word/2010/wordml" w14:paraId="6FB968EE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Слайд 6 — Постачальники ШІ. </w:t>
      </w:r>
      <w:r w:rsidRPr="1BD58AA5" w:rsidR="1BD58AA5">
        <w:rPr>
          <w:rFonts w:ascii="Arial" w:hAnsi="Arial" w:eastAsia="Arial" w:cs="Arial"/>
          <w:lang w:val="en-US"/>
        </w:rPr>
        <w:t>Концентраційний ризик; контроль ланцюга; критичні/важливі функції (DORA)</w:t>
      </w:r>
    </w:p>
    <w:p xmlns:wp14="http://schemas.microsoft.com/office/word/2010/wordml" w14:paraId="6BB5423D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7 — Інциденти ШІ. </w:t>
      </w:r>
      <w:r w:rsidRPr="1BD58AA5" w:rsidR="1BD58AA5">
        <w:rPr>
          <w:rFonts w:ascii="Arial" w:hAnsi="Arial" w:eastAsia="Arial" w:cs="Arial"/>
        </w:rPr>
        <w:t>Спільна відповідальність; розширене поняття інциденту; ШІ-індикатори</w:t>
      </w:r>
    </w:p>
    <w:p xmlns:wp14="http://schemas.microsoft.com/office/word/2010/wordml" w14:paraId="3D22F43B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8 — BCP/DRP для ШІ. </w:t>
      </w:r>
      <w:r w:rsidRPr="1BD58AA5" w:rsidR="1BD58AA5">
        <w:rPr>
          <w:rFonts w:ascii="Arial" w:hAnsi="Arial" w:eastAsia="Arial" w:cs="Arial"/>
        </w:rPr>
        <w:t>Exit-стратегія + worst-case playbook; сценарій втрати вендора; надмірність</w:t>
      </w:r>
    </w:p>
    <w:p xmlns:wp14="http://schemas.microsoft.com/office/word/2010/wordml" w14:paraId="0433BE98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Слайд 9 — Тестування стійкості та red-teaming. </w:t>
      </w:r>
      <w:r w:rsidRPr="1BD58AA5" w:rsidR="1BD58AA5">
        <w:rPr>
          <w:rFonts w:ascii="Arial" w:hAnsi="Arial" w:eastAsia="Arial" w:cs="Arial"/>
          <w:lang w:val="en-US"/>
        </w:rPr>
        <w:t>3 рівні: передрелізне → моніторинг (дрейф) → red-teaming GenAI; рамки OWASP LLM / MITRE ATLAS / NIST AI RMF</w:t>
      </w:r>
    </w:p>
    <w:p xmlns:wp14="http://schemas.microsoft.com/office/word/2010/wordml" w14:paraId="6B9583D5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  <w:lang w:val="en-US"/>
        </w:rPr>
        <w:t xml:space="preserve">Слайд 10 — DORA як орієнтир. </w:t>
      </w:r>
      <w:r w:rsidRPr="1BD58AA5" w:rsidR="1BD58AA5">
        <w:rPr>
          <w:rFonts w:ascii="Arial" w:hAnsi="Arial" w:eastAsia="Arial" w:cs="Arial"/>
          <w:lang w:val="en-US"/>
        </w:rPr>
        <w:t>Референсна рамка групи; вимоги НБУ — обовʼязкові; каркас готовий до локалізації</w:t>
      </w:r>
    </w:p>
    <w:p xmlns:wp14="http://schemas.microsoft.com/office/word/2010/wordml" w14:paraId="357C68CF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11 — Пропозиція сектору. </w:t>
      </w:r>
      <w:r w:rsidRPr="1BD58AA5" w:rsidR="1BD58AA5">
        <w:rPr>
          <w:rFonts w:ascii="Arial" w:hAnsi="Arial" w:eastAsia="Arial" w:cs="Arial"/>
        </w:rPr>
        <w:t>Реєстр критичних ШІ-залежностей; мінімальний договірний стандарт; спільна таксономія інцидентів</w:t>
      </w:r>
    </w:p>
    <w:p xmlns:wp14="http://schemas.microsoft.com/office/word/2010/wordml" w14:paraId="429E64C6" wp14:textId="77777777">
      <w:pPr>
        <w:pStyle w:val="ListParagraph"/>
        <w:numPr>
          <w:ilvl w:val="0"/>
          <w:numId w:val="4"/>
        </w:numPr>
        <w:spacing w:after="80" w:line="272" w:lineRule="auto"/>
        <w:rPr/>
      </w:pPr>
      <w:r w:rsidRPr="1BD58AA5" w:rsidR="1BD58AA5">
        <w:rPr>
          <w:rFonts w:ascii="Arial" w:hAnsi="Arial" w:eastAsia="Arial" w:cs="Arial"/>
          <w:b w:val="1"/>
          <w:bCs w:val="1"/>
        </w:rPr>
        <w:t xml:space="preserve">Слайд 12 — Підсумок / Q&amp;A. </w:t>
      </w:r>
      <w:r w:rsidRPr="1BD58AA5" w:rsidR="1BD58AA5">
        <w:rPr>
          <w:rFonts w:ascii="Arial" w:hAnsi="Arial" w:eastAsia="Arial" w:cs="Arial"/>
        </w:rPr>
        <w:t>Один меседж + контакт для подальшої співпраці</w:t>
      </w:r>
    </w:p>
    <w:p xmlns:wp14="http://schemas.microsoft.com/office/word/2010/wordml" w14:paraId="0E27B00A" wp14:textId="77777777">
      <w:pPr>
        <w:spacing w:after="4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BD58AA5" w14:paraId="62F983B1" wp14:textId="77777777">
        <w:tc>
          <w:tcPr>
            <w:tcW w:w="9026" w:type="dxa"/>
            <w:tcBorders>
              <w:top w:val="single" w:color="1F6F46" w:sz="6"/>
              <w:left w:val="single" w:color="1F6F46" w:sz="6"/>
              <w:bottom w:val="single" w:color="1F6F46" w:sz="6"/>
              <w:right w:val="single" w:color="1F6F46" w:sz="6"/>
            </w:tcBorders>
            <w:shd w:val="clear" w:color="auto" w:fill="E8F2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9AF1E" wp14:textId="77777777">
            <w:pPr>
              <w:spacing w:after="60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1F6F46"/>
                <w:sz w:val="21"/>
                <w:szCs w:val="21"/>
                <w:lang w:val="en-US"/>
              </w:rPr>
              <w:t>Порада з оформлення</w:t>
            </w:r>
          </w:p>
          <w:p w14:paraId="64F75AA4" wp14:textId="77777777">
            <w:pPr>
              <w:spacing w:after="50" w:line="268" w:lineRule="auto"/>
            </w:pPr>
            <w:r w:rsidRPr="1BD58AA5" w:rsidR="1BD58AA5">
              <w:rPr>
                <w:rFonts w:ascii="Arial" w:hAnsi="Arial" w:eastAsia="Arial" w:cs="Arial"/>
                <w:sz w:val="20"/>
                <w:szCs w:val="20"/>
                <w:lang w:val="en-US"/>
              </w:rPr>
              <w:t>Мінімум тексту на слайді (3–5 тез), жодних внутрішніх схем архітектури, жодних назв вендорів/систем. Схему життєвого циклу подати узагальнено. Деталі — усно та в Q&amp;A на рівні підходу.</w:t>
            </w:r>
          </w:p>
        </w:tc>
      </w:tr>
    </w:tbl>
    <w:p xmlns:wp14="http://schemas.microsoft.com/office/word/2010/wordml" w14:paraId="2F155E7A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6. Відповіді на ймовірні гострі питання (Q&amp;A)</w:t>
      </w:r>
    </w:p>
    <w:p xmlns:wp14="http://schemas.microsoft.com/office/word/2010/wordml" w14:paraId="362D40FE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Якими конкретними ШІ-сервісами / вендорами ви користуєтесь?</w:t>
      </w:r>
    </w:p>
    <w:p xmlns:wp14="http://schemas.microsoft.com/office/word/2010/wordml" w14:paraId="562F3CC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На рівні підходу: вибір постачальника проходить оцінку ризику третьої сторони та QBR; конкретні назви є чутливою інформацією і не розкриваються у відкритому форматі. Можу описати критерії відбору.</w:t>
      </w:r>
    </w:p>
    <w:p xmlns:wp14="http://schemas.microsoft.com/office/word/2010/wordml" w14:paraId="3153E53E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Чи були у вас інциденти, повʼязані з ШІ?</w:t>
      </w:r>
    </w:p>
    <w:p xmlns:wp14="http://schemas.microsoft.com/office/word/2010/wordml" w14:paraId="731CB6F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Деталі інцидентів не коментуємо публічно. Можу говорити про класи подій, які ми відстежуємо (дрейф, деградація, poisoning, adversarial), і про те, як вони покриваються процесом реагування.</w:t>
      </w:r>
    </w:p>
    <w:p xmlns:wp14="http://schemas.microsoft.com/office/word/2010/wordml" w14:paraId="622B5142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Як ви запобігаєте витоку банківської таємниці й персональних даних у зовнішні моделі?</w:t>
      </w:r>
    </w:p>
    <w:p xmlns:wp14="http://schemas.microsoft.com/office/word/2010/wordml" w14:paraId="48887022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Жорстке правило заборони передачі чутливих даних у неавторизовані сервіси; технічно — контроль вихідного трафіку, DLP, фільтрація вводу/виводу, ізоляція навантажень. Для GPAI — окремі вимоги до даних і декларація відповідності.</w:t>
      </w:r>
    </w:p>
    <w:p xmlns:wp14="http://schemas.microsoft.com/office/word/2010/wordml" w14:paraId="1E352930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Що ви робите, якщо постачальник моделі припиняє підтримку?</w:t>
      </w:r>
    </w:p>
    <w:p xmlns:wp14="http://schemas.microsoft.com/office/word/2010/wordml" w14:paraId="433391D0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</w:rPr>
        <w:t xml:space="preserve">Відповідь: </w:t>
      </w:r>
      <w:r w:rsidRPr="1BD58AA5" w:rsidR="1BD58AA5">
        <w:rPr>
          <w:rFonts w:ascii="Arial" w:hAnsi="Arial" w:eastAsia="Arial" w:cs="Arial"/>
        </w:rPr>
        <w:t>Це наш базовий worst-case сценарій. Для кожної системи ШІ є план виведення, можливість відновити дані та перевести сервіс до іншого провайдера або в локальну експлуатацію, технічна надмірність для високого ризику.</w:t>
      </w:r>
    </w:p>
    <w:p xmlns:wp14="http://schemas.microsoft.com/office/word/2010/wordml" w14:paraId="645920A6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</w:rPr>
        <w:t>Як ви тестуєте стійкість моделей і чи робите red-teaming?</w:t>
      </w:r>
    </w:p>
    <w:p xmlns:wp14="http://schemas.microsoft.com/office/word/2010/wordml" w14:paraId="350710C6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Безпекове тестування до релізу з документованими результатами, післявпроваджувальний моніторинг, контроль дрейфу. Розширення програми тестування стійкості, зокрема red-teaming для GenAI, — наш напрям розвитку (можна подати як пропозицію сектору).</w:t>
      </w:r>
    </w:p>
    <w:p xmlns:wp14="http://schemas.microsoft.com/office/word/2010/wordml" w14:paraId="2C2EAF5D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Ви орієнтуєтесь на DORA — а як щодо вимог НБУ?</w:t>
      </w:r>
    </w:p>
    <w:p xmlns:wp14="http://schemas.microsoft.com/office/word/2010/wordml" w14:paraId="59A3955C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DORA для нас — чинний груповий орієнтир; вимоги НБУ виконуються як обовʼязкові. Каркас побудований так, щоб його можна було локалізувати під майбутні DORA-подібні вимоги НБУ без перебудови.</w:t>
      </w:r>
    </w:p>
    <w:p xmlns:wp14="http://schemas.microsoft.com/office/word/2010/wordml" w14:paraId="02564762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1F6F46"/>
          <w:lang w:val="en-US"/>
        </w:rPr>
        <w:t xml:space="preserve">Питання: </w:t>
      </w:r>
      <w:r w:rsidRPr="1BD58AA5" w:rsidR="1BD58AA5">
        <w:rPr>
          <w:rFonts w:ascii="Arial" w:hAnsi="Arial" w:eastAsia="Arial" w:cs="Arial"/>
          <w:b w:val="1"/>
          <w:bCs w:val="1"/>
          <w:lang w:val="en-US"/>
        </w:rPr>
        <w:t>Хто у банку відповідає за рішення щодо ШІ — це ІТ чи бізнес?</w:t>
      </w:r>
    </w:p>
    <w:p xmlns:wp14="http://schemas.microsoft.com/office/word/2010/wordml" w14:paraId="241D6888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b w:val="1"/>
          <w:bCs w:val="1"/>
          <w:color w:val="555555"/>
          <w:lang w:val="en-US"/>
        </w:rPr>
        <w:t xml:space="preserve">Відповідь: </w:t>
      </w:r>
      <w:r w:rsidRPr="1BD58AA5" w:rsidR="1BD58AA5">
        <w:rPr>
          <w:rFonts w:ascii="Arial" w:hAnsi="Arial" w:eastAsia="Arial" w:cs="Arial"/>
          <w:lang w:val="en-US"/>
        </w:rPr>
        <w:t>Розподілена модель: бізнес — власник use case; Risk Owner відповідає за прийнятність ризику; AI Risk Working Group класифікує ризик і погоджує контролі; ІБ, DPO, Legal/Compliance — обовʼязкові учасники погоджень. Це і є розподіл обовʼязків (segregation of duties).</w:t>
      </w:r>
    </w:p>
    <w:p xmlns:wp14="http://schemas.microsoft.com/office/word/2010/wordml" w14:paraId="70DCC872" wp14:textId="77777777">
      <w:pPr>
        <w:pStyle w:val="Heading1"/>
      </w:pPr>
      <w:r w:rsidRPr="1BD58AA5" w:rsidR="1BD58AA5">
        <w:rPr>
          <w:rFonts w:ascii="Arial" w:hAnsi="Arial" w:eastAsia="Arial" w:cs="Arial"/>
        </w:rPr>
        <w:t>7. Внесок ОТП у очікувані результати сесії</w:t>
      </w:r>
    </w:p>
    <w:p xmlns:wp14="http://schemas.microsoft.com/office/word/2010/wordml" w14:paraId="329B2677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lang w:val="en-US"/>
        </w:rPr>
        <w:t>Сесія має сформувати конкретні напрацювання. Нижче — те, що Банк може запропонувати під кожен очікуваний результат (без розкриття чутливого).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 xmlns:wp14="http://schemas.microsoft.com/office/word/2010/wordml" w:rsidTr="1BD58AA5" w14:paraId="4A072346" wp14:textId="77777777">
        <w:trPr>
          <w:tblHeader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BA0A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</w:rPr>
              <w:t>Очікуваний результат сесії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7A6A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Пропозиція / внесок ОТП</w:t>
            </w:r>
          </w:p>
        </w:tc>
      </w:tr>
      <w:tr xmlns:wp14="http://schemas.microsoft.com/office/word/2010/wordml" w:rsidTr="1BD58AA5" w14:paraId="577A6100" wp14:textId="77777777">
        <w:trPr>
          <w:tblHeader w:val="false"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0A78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Критичні залежності від ШІ-постачальників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A1A4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Ініціювати галузевий реєстр критичних ШІ-залежностей фінсектору (спільні «єдині точки відмови»: провайдери GPAI, хмари, інференс-сервіси) і метрику концентраційного ризику</w:t>
            </w:r>
          </w:p>
        </w:tc>
      </w:tr>
      <w:tr xmlns:wp14="http://schemas.microsoft.com/office/word/2010/wordml" w:rsidTr="1BD58AA5" w14:paraId="5C2CD1F4" wp14:textId="77777777">
        <w:trPr>
          <w:tblHeader w:val="false"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7AAE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Управління ризиками третіх сторін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B0D9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Запропонувати мінімальний договірний стандарт для постачальників ШІ: прозорість ланцюга, право аудиту, сповіщення про інциденти, умови виходу, відповідність критичним функціям DORA</w:t>
            </w:r>
          </w:p>
        </w:tc>
      </w:tr>
      <w:tr xmlns:wp14="http://schemas.microsoft.com/office/word/2010/wordml" w:rsidTr="1BD58AA5" w14:paraId="666CCE98" wp14:textId="77777777">
        <w:trPr>
          <w:tblHeader w:val="false"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7762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Тестування стійкості моделей та управління інцидентами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6FA8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Поділитися підходом до моніторингу дрейфу/деградації та запропонувати спільну таксономію інцидентів ШІ для обміну сигналами між банками</w:t>
            </w:r>
          </w:p>
        </w:tc>
      </w:tr>
      <w:tr xmlns:wp14="http://schemas.microsoft.com/office/word/2010/wordml" w:rsidTr="1BD58AA5" w14:paraId="2D27BFD5" wp14:textId="77777777">
        <w:trPr>
          <w:tblHeader w:val="false"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AAB3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Вплив ШІ на операційну стійкість сектору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63BE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Тезу про вбудовування ШІ-ризику в наявну систему управління ІКТ-ризиками замість окремого режиму — як рекомендований шаблон для сектору</w:t>
            </w:r>
          </w:p>
        </w:tc>
      </w:tr>
      <w:tr xmlns:wp14="http://schemas.microsoft.com/office/word/2010/wordml" w:rsidTr="1BD58AA5" w14:paraId="5BCF8BD6" wp14:textId="77777777">
        <w:trPr>
          <w:tblHeader w:val="false"/>
        </w:trPr>
        <w:tc>
          <w:tcPr>
            <w:tcW w:w="31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9A56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Інтеграція ШІ-ризиків в управління ІКТ-ризиками</w:t>
            </w:r>
          </w:p>
        </w:tc>
        <w:tc>
          <w:tcPr>
            <w:tcW w:w="59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80E9E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Запропонувати орієнтир на ISO/IEC 42001:2023 як спільну рамку та маппінг на DORA/майбутні вимоги НБУ</w:t>
            </w:r>
          </w:p>
        </w:tc>
      </w:tr>
    </w:tbl>
    <w:p xmlns:wp14="http://schemas.microsoft.com/office/word/2010/wordml" w14:paraId="05F6867E" wp14:textId="77777777">
      <w:pPr>
        <w:pStyle w:val="Heading1"/>
      </w:pPr>
      <w:r w:rsidRPr="1BD58AA5" w:rsidR="1BD58AA5">
        <w:rPr>
          <w:rFonts w:ascii="Arial" w:hAnsi="Arial" w:eastAsia="Arial" w:cs="Arial"/>
        </w:rPr>
        <w:t>8. Чеклист підготовки та питання для узгодження</w:t>
      </w:r>
    </w:p>
    <w:p xmlns:wp14="http://schemas.microsoft.com/office/word/2010/wordml" w:rsidP="1BD58AA5" w14:paraId="0BC4F000" wp14:textId="77777777">
      <w:pPr>
        <w:pStyle w:val="Heading2"/>
        <w:rPr>
          <w:rFonts w:ascii="Arial" w:hAnsi="Arial" w:eastAsia="Arial" w:cs="Arial"/>
          <w:strike w:val="1"/>
        </w:rPr>
      </w:pPr>
      <w:r w:rsidRPr="1BD58AA5" w:rsidR="1BD58AA5">
        <w:rPr>
          <w:rFonts w:ascii="Arial" w:hAnsi="Arial" w:eastAsia="Arial" w:cs="Arial"/>
        </w:rPr>
        <w:t xml:space="preserve">8.1 </w:t>
      </w:r>
      <w:r w:rsidRPr="1BD58AA5" w:rsidR="1BD58AA5">
        <w:rPr>
          <w:rFonts w:ascii="Arial" w:hAnsi="Arial" w:eastAsia="Arial" w:cs="Arial"/>
          <w:strike w:val="1"/>
        </w:rPr>
        <w:t>Перед виступом (за 100% обовʼязкове)</w:t>
      </w:r>
    </w:p>
    <w:p xmlns:wp14="http://schemas.microsoft.com/office/word/2010/wordml" w:rsidP="1BD58AA5" w14:paraId="77B5CF8D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</w:rPr>
      </w:pPr>
      <w:r w:rsidRPr="1BD58AA5" w:rsidR="1BD58AA5">
        <w:rPr>
          <w:rFonts w:ascii="Arial" w:hAnsi="Arial" w:eastAsia="Arial" w:cs="Arial"/>
          <w:strike w:val="1"/>
        </w:rPr>
        <w:t>Погодити меседжі та слайди з керівництвом ІБ (CISO).</w:t>
      </w:r>
    </w:p>
    <w:p xmlns:wp14="http://schemas.microsoft.com/office/word/2010/wordml" w:rsidP="1BD58AA5" w14:paraId="40D79320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uk-UA"/>
        </w:rPr>
      </w:pPr>
      <w:r w:rsidRPr="1BD58AA5" w:rsidR="1BD58AA5">
        <w:rPr>
          <w:rFonts w:ascii="Arial" w:hAnsi="Arial" w:eastAsia="Arial" w:cs="Arial"/>
          <w:strike w:val="1"/>
          <w:lang w:val="uk-UA"/>
        </w:rPr>
        <w:t>Юридична/комплаєнс-вичитка на предмет банківської таємниці й конфіденційності (Legal/Compliance).</w:t>
      </w:r>
    </w:p>
    <w:p xmlns:wp14="http://schemas.microsoft.com/office/word/2010/wordml" w:rsidP="1BD58AA5" w14:paraId="3A40789C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en-US"/>
        </w:rPr>
      </w:pPr>
      <w:r w:rsidRPr="1BD58AA5" w:rsidR="1BD58AA5">
        <w:rPr>
          <w:rFonts w:ascii="Arial" w:hAnsi="Arial" w:eastAsia="Arial" w:cs="Arial"/>
          <w:strike w:val="1"/>
          <w:lang w:val="en-US"/>
        </w:rPr>
        <w:t>Перевірка DPO: жодних персональних даних, прикладів із реальними клієнтами.</w:t>
      </w:r>
    </w:p>
    <w:p xmlns:wp14="http://schemas.microsoft.com/office/word/2010/wordml" w:rsidP="1BD58AA5" w14:paraId="70894821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en-US"/>
        </w:rPr>
      </w:pPr>
      <w:r w:rsidRPr="1BD58AA5" w:rsidR="1BD58AA5">
        <w:rPr>
          <w:rFonts w:ascii="Arial" w:hAnsi="Arial" w:eastAsia="Arial" w:cs="Arial"/>
          <w:strike w:val="1"/>
          <w:lang w:val="en-US"/>
        </w:rPr>
        <w:t>Підтвердити, що в матеріалах немає назв вендорів, систем, версій, схем архітектури та цифр ризику.</w:t>
      </w:r>
    </w:p>
    <w:p xmlns:wp14="http://schemas.microsoft.com/office/word/2010/wordml" w:rsidP="1BD58AA5" w14:paraId="4BC02E01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en-US"/>
        </w:rPr>
      </w:pPr>
      <w:r w:rsidRPr="1BD58AA5" w:rsidR="1BD58AA5">
        <w:rPr>
          <w:rFonts w:ascii="Arial" w:hAnsi="Arial" w:eastAsia="Arial" w:cs="Arial"/>
          <w:strike w:val="1"/>
          <w:lang w:val="en-US"/>
        </w:rPr>
        <w:t>Узгодити з AI Office / AI Risk Working Group коректність опису каркасу та ролей.</w:t>
      </w:r>
    </w:p>
    <w:p xmlns:wp14="http://schemas.microsoft.com/office/word/2010/wordml" w:rsidP="1BD58AA5" w14:paraId="2FC2D947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en-US"/>
        </w:rPr>
      </w:pPr>
      <w:r w:rsidRPr="1BD58AA5" w:rsidR="1BD58AA5">
        <w:rPr>
          <w:rFonts w:ascii="Arial" w:hAnsi="Arial" w:eastAsia="Arial" w:cs="Arial"/>
          <w:strike w:val="1"/>
          <w:lang w:val="en-US"/>
        </w:rPr>
        <w:t>Підготувати «безпечні» формулювання-відмови для чутливих питань (розділ 6).</w:t>
      </w:r>
    </w:p>
    <w:p xmlns:wp14="http://schemas.microsoft.com/office/word/2010/wordml" w:rsidP="1BD58AA5" w14:paraId="5D34E582" wp14:textId="77777777">
      <w:pPr>
        <w:pStyle w:val="ListParagraph"/>
        <w:numPr>
          <w:ilvl w:val="0"/>
          <w:numId w:val="3"/>
        </w:numPr>
        <w:spacing w:after="80" w:line="272" w:lineRule="auto"/>
        <w:rPr>
          <w:rFonts w:ascii="Arial" w:hAnsi="Arial" w:eastAsia="Arial" w:cs="Arial"/>
          <w:strike w:val="1"/>
          <w:lang w:val="en-US"/>
        </w:rPr>
      </w:pPr>
      <w:r w:rsidRPr="1BD58AA5" w:rsidR="1BD58AA5">
        <w:rPr>
          <w:rFonts w:ascii="Arial" w:hAnsi="Arial" w:eastAsia="Arial" w:cs="Arial"/>
          <w:strike w:val="1"/>
          <w:lang w:val="en-US"/>
        </w:rPr>
        <w:t>Узгодити, що саме спікер може анонсувати як пропозицію сектору (розділ 7).</w:t>
      </w:r>
    </w:p>
    <w:p xmlns:wp14="http://schemas.microsoft.com/office/word/2010/wordml" w14:paraId="1CAF6541" wp14:textId="77777777">
      <w:pPr>
        <w:pStyle w:val="Heading2"/>
      </w:pPr>
      <w:r w:rsidRPr="1BD58AA5" w:rsidR="1BD58AA5">
        <w:rPr>
          <w:rFonts w:ascii="Arial" w:hAnsi="Arial" w:eastAsia="Arial" w:cs="Arial"/>
          <w:lang w:val="en-US"/>
        </w:rPr>
        <w:t>8.2 Питання для Legal / Compliance / Risk / DPO / Information Security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 xmlns:wp14="http://schemas.microsoft.com/office/word/2010/wordml" w:rsidTr="1BD58AA5" w14:paraId="2022B506" wp14:textId="77777777">
        <w:trPr>
          <w:tblHeader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A344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Функція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E490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Питання для узгодження</w:t>
            </w:r>
          </w:p>
        </w:tc>
      </w:tr>
      <w:tr xmlns:wp14="http://schemas.microsoft.com/office/word/2010/wordml" w:rsidTr="1BD58AA5" w14:paraId="1488EBE9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1ADC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Legal/Compliance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DCA3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Чи є обмеження на публічну згадку наших внутрішніх політик за назвою? Який рівень деталізації договірних вимог до вендорів допустимий публічно?</w:t>
            </w:r>
          </w:p>
        </w:tc>
      </w:tr>
      <w:tr xmlns:wp14="http://schemas.microsoft.com/office/word/2010/wordml" w:rsidTr="1BD58AA5" w14:paraId="2BD8C0D3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3094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Risk / OpRisk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DB5A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Чи можемо ми озвучити підхід до концентраційного ризику постачальників ШІ без розкриття переліку? Чи узгоджена теза про вбудовування ШІ-ризику в управління ІКТ-ризиками?</w:t>
            </w:r>
          </w:p>
        </w:tc>
      </w:tr>
      <w:tr xmlns:wp14="http://schemas.microsoft.com/office/word/2010/wordml" w:rsidTr="1BD58AA5" w14:paraId="34D43244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C804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DPO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2B8D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Які формулювання щодо роботи з даними в ШІ є безпечними публічно? Чи можна згадувати fundamental rights impact assessment як практику?</w:t>
            </w:r>
          </w:p>
        </w:tc>
      </w:tr>
      <w:tr xmlns:wp14="http://schemas.microsoft.com/office/word/2010/wordml" w:rsidTr="1BD58AA5" w14:paraId="39EDBC2A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590B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Information Security / CISO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6234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Який рівень опису архітектурних принципів (Zero Trust, DLP, egress) допустимий? Чи можемо згадувати напрям red-teaming для GenAI як план?</w:t>
            </w:r>
          </w:p>
        </w:tc>
      </w:tr>
      <w:tr xmlns:wp14="http://schemas.microsoft.com/office/word/2010/wordml" w:rsidTr="1BD58AA5" w14:paraId="43C89C93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7723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AI Office / AI Risk WG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A126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Чи коректно описані ролі та життєвий цикл? Чи можемо посилатися на ISO/IEC 42001 і EU AI Act як основу?</w:t>
            </w:r>
          </w:p>
        </w:tc>
      </w:tr>
    </w:tbl>
    <w:p xmlns:wp14="http://schemas.microsoft.com/office/word/2010/wordml" w14:paraId="69CD4158" wp14:textId="77777777">
      <w:pPr>
        <w:pStyle w:val="Heading1"/>
      </w:pPr>
      <w:r w:rsidRPr="1BD58AA5" w:rsidR="1BD58AA5">
        <w:rPr>
          <w:rFonts w:ascii="Arial" w:hAnsi="Arial" w:eastAsia="Arial" w:cs="Arial"/>
          <w:lang w:val="en-US"/>
        </w:rPr>
        <w:t>9. Глосарій абревіатур і термінів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 xmlns:wp14="http://schemas.microsoft.com/office/word/2010/wordml" w:rsidTr="1BD58AA5" w14:paraId="72C28587" wp14:textId="77777777">
        <w:trPr>
          <w:tblHeader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CFF2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Термін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1F6F4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870D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Пояснення</w:t>
            </w:r>
          </w:p>
        </w:tc>
      </w:tr>
      <w:tr xmlns:wp14="http://schemas.microsoft.com/office/word/2010/wordml" w:rsidTr="1BD58AA5" w14:paraId="666009C8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F572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ШІ / AI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C379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штучний інтелект (Artificial Intelligence)</w:t>
            </w:r>
          </w:p>
        </w:tc>
      </w:tr>
      <w:tr xmlns:wp14="http://schemas.microsoft.com/office/word/2010/wordml" w:rsidTr="1BD58AA5" w14:paraId="2622603F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BD37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EU AI Act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DC0D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Регламент ЄС про штучний інтелект (Regulation (EU) 2024/1689)</w:t>
            </w:r>
          </w:p>
        </w:tc>
      </w:tr>
      <w:tr xmlns:wp14="http://schemas.microsoft.com/office/word/2010/wordml" w:rsidTr="1BD58AA5" w14:paraId="099247AB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90DA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DORA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546C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Digital Operational Resilience Act — Регламент ЄС про цифрову операційну стійкість фінсектору (Regulation (EU) 2022/2554)</w:t>
            </w:r>
          </w:p>
        </w:tc>
      </w:tr>
      <w:tr xmlns:wp14="http://schemas.microsoft.com/office/word/2010/wordml" w:rsidTr="1BD58AA5" w14:paraId="020CCC47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BE99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GPAI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DA1C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General-Purpose AI — модель ШІ загального призначення</w:t>
            </w:r>
          </w:p>
        </w:tc>
      </w:tr>
      <w:tr xmlns:wp14="http://schemas.microsoft.com/office/word/2010/wordml" w:rsidTr="1BD58AA5" w14:paraId="22B986FB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CE6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GenAI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C128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генеративний ШІ</w:t>
            </w:r>
          </w:p>
        </w:tc>
      </w:tr>
      <w:tr xmlns:wp14="http://schemas.microsoft.com/office/word/2010/wordml" w:rsidTr="1BD58AA5" w14:paraId="441D7F0C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B4EE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СУІБ / ISMS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2BDD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система управління інформаційною безпекою (Information Security Management System)</w:t>
            </w:r>
          </w:p>
        </w:tc>
      </w:tr>
      <w:tr xmlns:wp14="http://schemas.microsoft.com/office/word/2010/wordml" w:rsidTr="1BD58AA5" w14:paraId="63B509BE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751A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ІКТ / ICT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CD16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інформаційно-комунікаційні технології (Information and Communication Technology)</w:t>
            </w:r>
          </w:p>
        </w:tc>
      </w:tr>
      <w:tr xmlns:wp14="http://schemas.microsoft.com/office/word/2010/wordml" w:rsidTr="1BD58AA5" w14:paraId="1DD128B8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2504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CISO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FDB4F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Chief Information Security Officer — керівник з інформаційної безпеки</w:t>
            </w:r>
          </w:p>
        </w:tc>
      </w:tr>
      <w:tr xmlns:wp14="http://schemas.microsoft.com/office/word/2010/wordml" w:rsidTr="1BD58AA5" w14:paraId="2F460F74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FE400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DPO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55F9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Data Protection Officer — відповідальний за захист персональних даних</w:t>
            </w:r>
          </w:p>
        </w:tc>
      </w:tr>
      <w:tr xmlns:wp14="http://schemas.microsoft.com/office/word/2010/wordml" w:rsidTr="1BD58AA5" w14:paraId="4E1666CF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3746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DLP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3717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Data Loss/Leak Prevention — запобігання витоку даних</w:t>
            </w:r>
          </w:p>
        </w:tc>
      </w:tr>
      <w:tr xmlns:wp14="http://schemas.microsoft.com/office/word/2010/wordml" w:rsidTr="1BD58AA5" w14:paraId="1DDCCF40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9FBF8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Zero Trust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542D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архітектурний принцип «нульової довіри» (перевіряти кожен доступ, мінімум привілеїв)</w:t>
            </w:r>
          </w:p>
        </w:tc>
      </w:tr>
      <w:tr xmlns:wp14="http://schemas.microsoft.com/office/word/2010/wordml" w:rsidTr="1BD58AA5" w14:paraId="592765B3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A7F0A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SDLC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432E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Software Development Life Cycle — життєвий цикл розробки ПЗ</w:t>
            </w:r>
          </w:p>
        </w:tc>
      </w:tr>
      <w:tr xmlns:wp14="http://schemas.microsoft.com/office/word/2010/wordml" w:rsidTr="1BD58AA5" w14:paraId="2E70D6C6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88C1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BCP / DRP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0E87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Business Continuity Plan / Disaster Recovery Plan — план безперервності бізнесу / аварійного відновлення</w:t>
            </w:r>
          </w:p>
        </w:tc>
      </w:tr>
      <w:tr xmlns:wp14="http://schemas.microsoft.com/office/word/2010/wordml" w:rsidTr="1BD58AA5" w14:paraId="65E480B1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B949C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RTO / RPO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96194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Recovery Time / Point Objective — цільові час і точка відновлення</w:t>
            </w:r>
          </w:p>
        </w:tc>
      </w:tr>
      <w:tr xmlns:wp14="http://schemas.microsoft.com/office/word/2010/wordml" w:rsidTr="1BD58AA5" w14:paraId="04CDECCC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C7067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ALE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BC083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Annualised Loss Expectancy — очікувані річні втрати (кількісна оцінка ризику)</w:t>
            </w:r>
          </w:p>
        </w:tc>
      </w:tr>
      <w:tr xmlns:wp14="http://schemas.microsoft.com/office/word/2010/wordml" w:rsidTr="1BD58AA5" w14:paraId="1725B86C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C7886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CIA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8F99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Confidentiality, Integrity, Availability — конфіденційність, цілісність, доступність</w:t>
            </w:r>
          </w:p>
        </w:tc>
      </w:tr>
      <w:tr xmlns:wp14="http://schemas.microsoft.com/office/word/2010/wordml" w:rsidTr="1BD58AA5" w14:paraId="56710DC1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C2D31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Deployer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818FD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субʼєкт, що впроваджує/використовує систему ШІ (за EU AI Act)</w:t>
            </w:r>
          </w:p>
        </w:tc>
      </w:tr>
      <w:tr xmlns:wp14="http://schemas.microsoft.com/office/word/2010/wordml" w:rsidTr="1BD58AA5" w14:paraId="4948F10A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2952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Data/Model poisoning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7006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отруєння навчальних даних / моделі</w:t>
            </w:r>
          </w:p>
        </w:tc>
      </w:tr>
      <w:tr xmlns:wp14="http://schemas.microsoft.com/office/word/2010/wordml" w:rsidTr="1BD58AA5" w14:paraId="4141563F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0227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Adversarial / prompt-hacking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5263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змагальні приклади / маніпуляції підказками для збою моделі</w:t>
            </w:r>
          </w:p>
        </w:tc>
      </w:tr>
      <w:tr xmlns:wp14="http://schemas.microsoft.com/office/word/2010/wordml" w:rsidTr="1BD58AA5" w14:paraId="616E8B88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4F782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Concept drift / model decay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42B5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концептуальний дрейф / деградація моделі з часом</w:t>
            </w:r>
          </w:p>
        </w:tc>
      </w:tr>
      <w:tr xmlns:wp14="http://schemas.microsoft.com/office/word/2010/wordml" w:rsidTr="1BD58AA5" w14:paraId="33D2225F" wp14:textId="77777777">
        <w:trPr>
          <w:tblHeader w:val="false"/>
        </w:trPr>
        <w:tc>
          <w:tcPr>
            <w:tcW w:w="2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24A9B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GTAB / QBR</w:t>
            </w:r>
          </w:p>
        </w:tc>
        <w:tc>
          <w:tcPr>
            <w:tcW w:w="6726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923B9" wp14:textId="77777777">
            <w:pPr>
              <w:spacing w:after="40" w:line="264" w:lineRule="auto"/>
            </w:pPr>
            <w:r w:rsidRPr="1BD58AA5" w:rsidR="1BD58AA5"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Group Technology Advisory Board / огляд постачальника (внутрішні процеси групи)</w:t>
            </w:r>
          </w:p>
        </w:tc>
      </w:tr>
    </w:tbl>
    <w:p xmlns:wp14="http://schemas.microsoft.com/office/word/2010/wordml" w14:paraId="60061E4C" wp14:textId="77777777">
      <w:pPr>
        <w:spacing w:after="120"/>
      </w:pPr>
    </w:p>
    <w:p xmlns:wp14="http://schemas.microsoft.com/office/word/2010/wordml" w14:paraId="479B6B96" wp14:textId="77777777">
      <w:pPr>
        <w:spacing w:after="120" w:line="276" w:lineRule="auto"/>
      </w:pPr>
      <w:r w:rsidRPr="1BD58AA5" w:rsidR="1BD58AA5">
        <w:rPr>
          <w:rFonts w:ascii="Arial" w:hAnsi="Arial" w:eastAsia="Arial" w:cs="Arial"/>
          <w:i w:val="1"/>
          <w:iCs w:val="1"/>
          <w:color w:val="555555"/>
          <w:sz w:val="18"/>
          <w:szCs w:val="18"/>
          <w:lang w:val="en-US"/>
        </w:rPr>
        <w:t>Підготовлено для внутрішнього використання. Усі факти — на основі чинних політик Групи та Банку; деталі не для публічного розкриття.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62F40BB" wp14:textId="77777777">
    <w:pPr>
      <w:jc w:val="center"/>
    </w:pPr>
    <w:r w:rsidRPr="1BD58AA5" w:rsidR="1BD58AA5">
      <w:rPr>
        <w:rFonts w:ascii="Arial" w:hAnsi="Arial" w:eastAsia="Arial" w:cs="Arial"/>
        <w:color w:val="555555"/>
        <w:sz w:val="16"/>
        <w:szCs w:val="16"/>
      </w:rPr>
      <w:t xml:space="preserve">Стор. </w:t>
    </w:r>
    <w:r w:rsidRPr="1BD58AA5">
      <w:rPr>
        <w:rFonts w:ascii="Arial" w:hAnsi="Arial" w:eastAsia="Arial" w:cs="Arial"/>
        <w:color w:val="555555"/>
        <w:sz w:val="16"/>
        <w:szCs w:val="16"/>
      </w:rPr>
      <w:fldChar w:fldCharType="begin"/>
    </w:r>
    <w:r w:rsidRPr="1BD58AA5">
      <w:rPr>
        <w:rFonts w:ascii="Arial" w:hAnsi="Arial" w:eastAsia="Arial" w:cs="Arial"/>
        <w:color w:val="555555"/>
        <w:sz w:val="16"/>
        <w:szCs w:val="16"/>
      </w:rPr>
      <w:instrText xml:space="preserve">PAGE</w:instrText>
    </w:r>
    <w:r w:rsidRPr="1BD58AA5">
      <w:rPr>
        <w:rFonts w:ascii="Arial" w:hAnsi="Arial" w:eastAsia="Arial" w:cs="Arial"/>
        <w:color w:val="555555"/>
        <w:sz w:val="16"/>
        <w:szCs w:val="16"/>
      </w:rPr>
      <w:fldChar w:fldCharType="separate"/>
    </w:r>
    <w:r w:rsidRPr="1BD58AA5">
      <w:rPr>
        <w:rFonts w:ascii="Arial" w:hAnsi="Arial" w:eastAsia="Arial" w:cs="Arial"/>
        <w:color w:val="555555"/>
        <w:sz w:val="16"/>
        <w:szCs w:val="16"/>
      </w:rPr>
      <w:fldChar w:fldCharType="end"/>
    </w:r>
    <w:r w:rsidRPr="1BD58AA5" w:rsidR="1BD58AA5">
      <w:rPr>
        <w:rFonts w:ascii="Arial" w:hAnsi="Arial" w:eastAsia="Arial" w:cs="Arial"/>
        <w:color w:val="555555"/>
        <w:sz w:val="16"/>
        <w:szCs w:val="16"/>
      </w:rPr>
      <w:t xml:space="preserve"> з </w:t>
    </w:r>
    <w:r w:rsidRPr="1BD58AA5">
      <w:rPr>
        <w:rFonts w:ascii="Arial" w:hAnsi="Arial" w:eastAsia="Arial" w:cs="Arial"/>
        <w:color w:val="555555"/>
        <w:sz w:val="16"/>
        <w:szCs w:val="16"/>
      </w:rPr>
      <w:fldChar w:fldCharType="begin"/>
    </w:r>
    <w:r w:rsidRPr="1BD58AA5">
      <w:rPr>
        <w:rFonts w:ascii="Arial" w:hAnsi="Arial" w:eastAsia="Arial" w:cs="Arial"/>
        <w:color w:val="555555"/>
        <w:sz w:val="16"/>
        <w:szCs w:val="16"/>
      </w:rPr>
      <w:instrText xml:space="preserve">NUMPAGES</w:instrText>
    </w:r>
    <w:r w:rsidRPr="1BD58AA5">
      <w:rPr>
        <w:rFonts w:ascii="Arial" w:hAnsi="Arial" w:eastAsia="Arial" w:cs="Arial"/>
        <w:color w:val="555555"/>
        <w:sz w:val="16"/>
        <w:szCs w:val="16"/>
      </w:rPr>
      <w:fldChar w:fldCharType="separate"/>
    </w:r>
    <w:r w:rsidRPr="1BD58AA5">
      <w:rPr>
        <w:rFonts w:ascii="Arial" w:hAnsi="Arial" w:eastAsia="Arial" w:cs="Arial"/>
        <w:color w:val="555555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1BD58AA5" w14:paraId="7E80AF1C" wp14:textId="77777777">
    <w:pPr>
      <w:pBdr>
        <w:bottom w:val="single" w:color="CCCCCC" w:sz="4" w:space="4"/>
      </w:pBdr>
      <w:tabs>
        <w:tab w:val="right" w:pos="9026"/>
      </w:tabs>
    </w:pPr>
    <w:r w:rsidRPr="1BD58AA5" w:rsidR="1BD58AA5">
      <w:rPr>
        <w:rFonts w:ascii="Arial" w:hAnsi="Arial" w:eastAsia="Arial" w:cs="Arial"/>
        <w:color w:val="555555"/>
        <w:sz w:val="16"/>
        <w:szCs w:val="16"/>
        <w:lang w:val="en-US"/>
      </w:rPr>
      <w:t>АТ «ОТП БАНК» · Конфіденційно — внутрішнє використання</w:t>
    </w:r>
    <w:r w:rsidRPr="1BD58AA5" w:rsidR="1BD58AA5">
      <w:rPr>
        <w:rFonts w:ascii="Arial" w:hAnsi="Arial" w:eastAsia="Arial" w:cs="Arial"/>
        <w:color w:val="555555"/>
        <w:sz w:val="16"/>
        <w:szCs w:val="16"/>
        <w:lang w:val="en-US"/>
      </w:rPr>
      <w:t>Доповідь: операційна стійкість ШІ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3c33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56875f"/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nsid w:val="43071c2f"/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nsid w:val="13b7cd60"/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72B8CB67"/>
  <w15:docId w15:val="{D2F22865-1A5D-405F-8479-342F191A16F7}"/>
  <w:rsids>
    <w:rsidRoot w:val="05E16086"/>
    <w:rsid w:val="05E16086"/>
    <w:rsid w:val="08DDF749"/>
    <w:rsid w:val="1BD58AA5"/>
    <w:rsid w:val="1C91424A"/>
    <w:rsid w:val="1FC17040"/>
    <w:rsid w:val="20037BA8"/>
    <w:rsid w:val="203A5A79"/>
    <w:rsid w:val="271D7C55"/>
    <w:rsid w:val="2EDA8E23"/>
    <w:rsid w:val="3329E7DA"/>
    <w:rsid w:val="34F42C49"/>
    <w:rsid w:val="3883F1EB"/>
    <w:rsid w:val="38E974FB"/>
    <w:rsid w:val="3A5E073A"/>
    <w:rsid w:val="3B423B6D"/>
    <w:rsid w:val="3D1BD2D4"/>
    <w:rsid w:val="407389B3"/>
    <w:rsid w:val="48BEEDA2"/>
    <w:rsid w:val="4B131017"/>
    <w:rsid w:val="4CA93C34"/>
    <w:rsid w:val="5832A29B"/>
    <w:rsid w:val="586ACB02"/>
    <w:rsid w:val="5BFC974D"/>
    <w:rsid w:val="5C93FB9D"/>
    <w:rsid w:val="5C93FB9D"/>
    <w:rsid w:val="5FB09776"/>
    <w:rsid w:val="63E5744F"/>
    <w:rsid w:val="67BD6E2F"/>
    <w:rsid w:val="6C21BD3D"/>
    <w:rsid w:val="76ED28E7"/>
    <w:rsid w:val="779AB3CF"/>
    <w:rsid w:val="7FD686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CFE3D8" w:sz="4" w:space="4"/>
      </w:pBdr>
      <w:spacing w:before="300" w:after="160"/>
      <w:outlineLvl w:val="0"/>
    </w:pPr>
    <w:rPr>
      <w:rFonts w:ascii="Arial" w:hAnsi="Arial" w:eastAsia="Arial" w:cs="Arial"/>
      <w:b/>
      <w:bCs/>
      <w:color w:val="1F6F46"/>
      <w:sz w:val="27"/>
      <w:szCs w:val="27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1A1A1A"/>
      <w:sz w:val="23"/>
      <w:szCs w:val="23"/>
    </w:rPr>
  </w:style>
  <w:style w:type="paragraph" w:styleId="Heading3">
    <w:name w:val="heading 30"/>
    <w:basedOn w:val="Normal"/>
    <w:next w:val="Normal"/>
    <w:qFormat/>
    <w:pPr>
      <w:spacing w:before="140" w:after="80"/>
      <w:outlineLvl w:val="2"/>
    </w:pPr>
    <w:rPr>
      <w:rFonts w:ascii="Arial" w:hAnsi="Arial" w:eastAsia="Arial" w:cs="Arial"/>
      <w:b/>
      <w:bCs/>
      <w:color w:val="555555"/>
      <w:sz w:val="21"/>
      <w:szCs w:val="21"/>
    </w:rPr>
  </w:style>
  <w:style w:type="paragraph" w:styleId="Normal" w:default="1">
    <w:uiPriority w:val="0"/>
    <w:name w:val="Normal"/>
    <w:qFormat/>
    <w:rsid w:val="1BD58AA5"/>
    <w:rPr>
      <w:noProof w:val="0"/>
      <w:lang w:val="uk-U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Доповідь — Операційна стійкість ШІ (НАБУ/НБУ, Трек 5)</dc:title>
  <dc:creator>OTP Bank Ukraine — Information Security</dc:creator>
  <lastModifiedBy>Олексій Павлик</lastModifiedBy>
  <revision>2</revision>
  <dcterms:created xsi:type="dcterms:W3CDTF">2026-05-29T11:35:15.6640000Z</dcterms:created>
  <dcterms:modified xsi:type="dcterms:W3CDTF">2026-05-31T11:06:00.3158726Z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