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SIMATS ENGINEERING (SAVEETHA SCHOOL OF ENGINEERING)</w:t>
      </w:r>
    </w:p>
    <w:p>
      <w:pPr>
        <w:spacing w:after="160"/>
        <w:jc w:val="center"/>
      </w:pPr>
      <w:r>
        <w:rPr>
          <w:b/>
          <w:bCs/>
          <w:color w:val="2E74B5"/>
          <w:sz w:val="24"/>
          <w:szCs w:val="24"/>
        </w:rPr>
        <w:t xml:space="preserve">Department of Computer Science and Engineering</w:t>
      </w:r>
    </w:p>
    <w:p>
      <w:pPr>
        <w:pBdr>
          <w:bottom w:val="single" w:color="1F3864" w:sz="8" w:space="6"/>
        </w:pBdr>
        <w:spacing w:after="200"/>
        <w:jc w:val="center"/>
      </w:pPr>
      <w:r>
        <w:rPr>
          <w:b/>
          <w:bCs/>
          <w:color w:val="C00000"/>
          <w:sz w:val="26"/>
          <w:szCs w:val="26"/>
        </w:rPr>
        <w:t xml:space="preserve">CO4 ASSESSMENT TOOL 2 – </w:t>
      </w:r>
      <w:r>
        <w:rPr>
          <w:b/>
          <w:bCs/>
          <w:color w:val="C00000"/>
          <w:sz w:val="26"/>
          <w:szCs w:val="26"/>
        </w:rPr>
        <w:t xml:space="preserve">CI/CD Pipeline Design Exercise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350"/>
        <w:gridCol w:w="2400"/>
        <w:gridCol w:w="2350"/>
      </w:tblGrid>
      <w:tr>
        <w:tc>
          <w:tcPr>
            <w:tcW w:type="dxa" w:w="2400"/>
            <w:shd w:fill="DCE6F1" w:val="clear"/>
            <w:tcMar>
              <w:top w:type="dxa" w:w="80"/>
              <w:left w:type="dxa" w:w="100"/>
              <w:bottom w:type="dxa" w:w="80"/>
              <w:right w:type="dxa" w:w="100"/>
            </w:tcMar>
            <w:vAlign w:val="center"/>
          </w:tcPr>
          <w:p>
            <w:pPr>
              <w:jc w:val="left"/>
            </w:pPr>
            <w:r>
              <w:rPr>
                <w:b/>
                <w:bCs/>
                <w:i w:val="false"/>
                <w:iCs w:val="false"/>
                <w:color w:val="1F3864"/>
                <w:sz w:val="20"/>
                <w:szCs w:val="20"/>
              </w:rPr>
              <w:t xml:space="preserve">Course Code:</w:t>
            </w:r>
          </w:p>
        </w:tc>
        <w:tc>
          <w:tcPr>
            <w:tcW w:type="dxa" w:w="2350"/>
            <w:tcMar>
              <w:top w:type="dxa" w:w="80"/>
              <w:left w:type="dxa" w:w="100"/>
              <w:bottom w:type="dxa" w:w="80"/>
              <w:right w:type="dxa" w:w="100"/>
            </w:tcMar>
            <w:vAlign w:val="center"/>
          </w:tcPr>
          <w:p>
            <w:pPr>
              <w:jc w:val="left"/>
            </w:pPr>
            <w:r>
              <w:rPr>
                <w:b w:val="false"/>
                <w:bCs w:val="false"/>
                <w:i w:val="false"/>
                <w:iCs w:val="false"/>
                <w:sz w:val="20"/>
                <w:szCs w:val="20"/>
              </w:rPr>
              <w:t xml:space="preserve">CSA10</w:t>
            </w:r>
          </w:p>
        </w:tc>
        <w:tc>
          <w:tcPr>
            <w:tcW w:type="dxa" w:w="2400"/>
            <w:shd w:fill="DCE6F1" w:val="clear"/>
            <w:tcMar>
              <w:top w:type="dxa" w:w="80"/>
              <w:left w:type="dxa" w:w="100"/>
              <w:bottom w:type="dxa" w:w="80"/>
              <w:right w:type="dxa" w:w="100"/>
            </w:tcMar>
            <w:vAlign w:val="center"/>
          </w:tcPr>
          <w:p>
            <w:pPr>
              <w:jc w:val="left"/>
            </w:pPr>
            <w:r>
              <w:rPr>
                <w:b/>
                <w:bCs/>
                <w:i w:val="false"/>
                <w:iCs w:val="false"/>
                <w:color w:val="1F3864"/>
                <w:sz w:val="20"/>
                <w:szCs w:val="20"/>
              </w:rPr>
              <w:t xml:space="preserve">Course Title:</w:t>
            </w:r>
          </w:p>
        </w:tc>
        <w:tc>
          <w:tcPr>
            <w:tcW w:type="dxa" w:w="2350"/>
            <w:tcMar>
              <w:top w:type="dxa" w:w="80"/>
              <w:left w:type="dxa" w:w="100"/>
              <w:bottom w:type="dxa" w:w="80"/>
              <w:right w:type="dxa" w:w="100"/>
            </w:tcMar>
            <w:vAlign w:val="center"/>
          </w:tcPr>
          <w:p>
            <w:pPr>
              <w:jc w:val="left"/>
            </w:pPr>
            <w:r>
              <w:rPr>
                <w:b w:val="false"/>
                <w:bCs w:val="false"/>
                <w:i w:val="false"/>
                <w:iCs w:val="false"/>
                <w:sz w:val="20"/>
                <w:szCs w:val="20"/>
              </w:rPr>
              <w:t xml:space="preserve">Software Engineering</w:t>
            </w:r>
          </w:p>
        </w:tc>
      </w:tr>
      <w:tr>
        <w:tc>
          <w:tcPr>
            <w:tcW w:type="dxa" w:w="2400"/>
            <w:shd w:fill="DCE6F1" w:val="clear"/>
            <w:tcMar>
              <w:top w:type="dxa" w:w="80"/>
              <w:left w:type="dxa" w:w="100"/>
              <w:bottom w:type="dxa" w:w="80"/>
              <w:right w:type="dxa" w:w="100"/>
            </w:tcMar>
            <w:vAlign w:val="center"/>
          </w:tcPr>
          <w:p>
            <w:pPr>
              <w:jc w:val="left"/>
            </w:pPr>
            <w:r>
              <w:rPr>
                <w:b/>
                <w:bCs/>
                <w:i w:val="false"/>
                <w:iCs w:val="false"/>
                <w:color w:val="1F3864"/>
                <w:sz w:val="20"/>
                <w:szCs w:val="20"/>
              </w:rPr>
              <w:t xml:space="preserve">CO Assessed:</w:t>
            </w:r>
          </w:p>
        </w:tc>
        <w:tc>
          <w:tcPr>
            <w:tcW w:type="dxa" w:w="2350"/>
            <w:tcMar>
              <w:top w:type="dxa" w:w="80"/>
              <w:left w:type="dxa" w:w="100"/>
              <w:bottom w:type="dxa" w:w="80"/>
              <w:right w:type="dxa" w:w="100"/>
            </w:tcMar>
            <w:vAlign w:val="center"/>
          </w:tcPr>
          <w:p>
            <w:pPr>
              <w:jc w:val="left"/>
            </w:pPr>
            <w:r>
              <w:rPr>
                <w:b w:val="false"/>
                <w:bCs w:val="false"/>
                <w:i w:val="false"/>
                <w:iCs w:val="false"/>
                <w:sz w:val="20"/>
                <w:szCs w:val="20"/>
              </w:rPr>
              <w:t xml:space="preserve">CO4</w:t>
            </w:r>
          </w:p>
        </w:tc>
        <w:tc>
          <w:tcPr>
            <w:tcW w:type="dxa" w:w="2400"/>
            <w:shd w:fill="DCE6F1" w:val="clear"/>
            <w:tcMar>
              <w:top w:type="dxa" w:w="80"/>
              <w:left w:type="dxa" w:w="100"/>
              <w:bottom w:type="dxa" w:w="80"/>
              <w:right w:type="dxa" w:w="100"/>
            </w:tcMar>
            <w:vAlign w:val="center"/>
          </w:tcPr>
          <w:p>
            <w:pPr>
              <w:jc w:val="left"/>
            </w:pPr>
            <w:r>
              <w:rPr>
                <w:b/>
                <w:bCs/>
                <w:i w:val="false"/>
                <w:iCs w:val="false"/>
                <w:color w:val="1F3864"/>
                <w:sz w:val="20"/>
                <w:szCs w:val="20"/>
              </w:rPr>
              <w:t xml:space="preserve">Assessment:</w:t>
            </w:r>
          </w:p>
        </w:tc>
        <w:tc>
          <w:tcPr>
            <w:tcW w:type="dxa" w:w="2350"/>
            <w:tcMar>
              <w:top w:type="dxa" w:w="80"/>
              <w:left w:type="dxa" w:w="100"/>
              <w:bottom w:type="dxa" w:w="80"/>
              <w:right w:type="dxa" w:w="100"/>
            </w:tcMar>
            <w:vAlign w:val="center"/>
          </w:tcPr>
          <w:p>
            <w:pPr>
              <w:jc w:val="left"/>
            </w:pPr>
            <w:r>
              <w:rPr>
                <w:b w:val="false"/>
                <w:bCs w:val="false"/>
                <w:i w:val="false"/>
                <w:iCs w:val="false"/>
                <w:sz w:val="20"/>
                <w:szCs w:val="20"/>
              </w:rPr>
              <w:t xml:space="preserve">Assessment Tool 2 – CI/CD Pipeline Design Exercise</w:t>
            </w:r>
          </w:p>
        </w:tc>
      </w:tr>
      <w:tr>
        <w:tc>
          <w:tcPr>
            <w:tcW w:type="dxa" w:w="2400"/>
            <w:shd w:fill="BDD7EE" w:val="clear"/>
            <w:tcMar>
              <w:top w:type="dxa" w:w="80"/>
              <w:left w:type="dxa" w:w="100"/>
              <w:bottom w:type="dxa" w:w="80"/>
              <w:right w:type="dxa" w:w="100"/>
            </w:tcMar>
            <w:vAlign w:val="center"/>
          </w:tcPr>
          <w:p>
            <w:pPr>
              <w:jc w:val="left"/>
            </w:pPr>
            <w:r>
              <w:rPr>
                <w:b/>
                <w:bCs/>
                <w:i w:val="false"/>
                <w:iCs w:val="false"/>
                <w:color w:val="1F3864"/>
                <w:sz w:val="20"/>
                <w:szCs w:val="20"/>
              </w:rPr>
              <w:t xml:space="preserve">Weightage:</w:t>
            </w:r>
          </w:p>
        </w:tc>
        <w:tc>
          <w:tcPr>
            <w:tcW w:type="dxa" w:w="2350"/>
            <w:shd w:fill="BDD7EE" w:val="clear"/>
            <w:tcMar>
              <w:top w:type="dxa" w:w="80"/>
              <w:left w:type="dxa" w:w="100"/>
              <w:bottom w:type="dxa" w:w="80"/>
              <w:right w:type="dxa" w:w="100"/>
            </w:tcMar>
            <w:vAlign w:val="center"/>
          </w:tcPr>
          <w:p>
            <w:pPr>
              <w:jc w:val="left"/>
            </w:pPr>
            <w:r>
              <w:rPr>
                <w:b w:val="false"/>
                <w:bCs w:val="false"/>
                <w:i w:val="false"/>
                <w:iCs w:val="false"/>
                <w:sz w:val="20"/>
                <w:szCs w:val="20"/>
              </w:rPr>
              <w:t xml:space="preserve">20%</w:t>
            </w:r>
          </w:p>
        </w:tc>
        <w:tc>
          <w:tcPr>
            <w:tcW w:type="dxa" w:w="2400"/>
            <w:shd w:fill="BDD7EE" w:val="clear"/>
            <w:tcMar>
              <w:top w:type="dxa" w:w="80"/>
              <w:left w:type="dxa" w:w="100"/>
              <w:bottom w:type="dxa" w:w="80"/>
              <w:right w:type="dxa" w:w="100"/>
            </w:tcMar>
            <w:vAlign w:val="center"/>
          </w:tcPr>
          <w:p>
            <w:pPr>
              <w:jc w:val="left"/>
            </w:pPr>
            <w:r>
              <w:rPr>
                <w:b/>
                <w:bCs/>
                <w:i w:val="false"/>
                <w:iCs w:val="false"/>
                <w:color w:val="1F3864"/>
                <w:sz w:val="20"/>
                <w:szCs w:val="20"/>
              </w:rPr>
              <w:t xml:space="preserve">Total Marks:</w:t>
            </w:r>
          </w:p>
        </w:tc>
        <w:tc>
          <w:tcPr>
            <w:tcW w:type="dxa" w:w="2350"/>
            <w:shd w:fill="BDD7EE" w:val="clear"/>
            <w:tcMar>
              <w:top w:type="dxa" w:w="80"/>
              <w:left w:type="dxa" w:w="100"/>
              <w:bottom w:type="dxa" w:w="80"/>
              <w:right w:type="dxa" w:w="100"/>
            </w:tcMar>
            <w:vAlign w:val="center"/>
          </w:tcPr>
          <w:p>
            <w:pPr>
              <w:jc w:val="left"/>
            </w:pPr>
            <w:r>
              <w:rPr>
                <w:b w:val="false"/>
                <w:bCs w:val="false"/>
                <w:i w:val="false"/>
                <w:iCs w:val="false"/>
                <w:sz w:val="20"/>
                <w:szCs w:val="20"/>
              </w:rPr>
              <w:t xml:space="preserve">25</w:t>
            </w:r>
          </w:p>
        </w:tc>
      </w:tr>
      <w:tr>
        <w:tc>
          <w:tcPr>
            <w:tcW w:type="dxa" w:w="2400"/>
            <w:shd w:fill="BDD7EE" w:val="clear"/>
            <w:tcMar>
              <w:top w:type="dxa" w:w="80"/>
              <w:left w:type="dxa" w:w="100"/>
              <w:bottom w:type="dxa" w:w="80"/>
              <w:right w:type="dxa" w:w="100"/>
            </w:tcMar>
            <w:vAlign w:val="center"/>
          </w:tcPr>
          <w:p>
            <w:pPr>
              <w:jc w:val="left"/>
            </w:pPr>
            <w:r>
              <w:rPr>
                <w:b/>
                <w:bCs/>
                <w:i w:val="false"/>
                <w:iCs w:val="false"/>
                <w:color w:val="1F3864"/>
                <w:sz w:val="20"/>
                <w:szCs w:val="20"/>
              </w:rPr>
              <w:t xml:space="preserve">CO4 Statement:</w:t>
            </w:r>
          </w:p>
        </w:tc>
        <w:tc>
          <w:tcPr>
            <w:tcW w:type="dxa" w:w="7100"/>
            <w:gridSpan w:val="3"/>
            <w:shd w:fill="DCE6F1" w:val="clear"/>
            <w:tcMar>
              <w:top w:type="dxa" w:w="80"/>
              <w:left w:type="dxa" w:w="100"/>
              <w:bottom w:type="dxa" w:w="80"/>
              <w:right w:type="dxa" w:w="100"/>
            </w:tcMar>
            <w:vAlign w:val="center"/>
          </w:tcPr>
          <w:p>
            <w:r>
              <w:rPr>
                <w:sz w:val="20"/>
                <w:szCs w:val="20"/>
              </w:rPr>
              <w:t xml:space="preserve">Implement robust testing, quality assurance, and DevOps practices, emphasizing security, reliability, and ethics.</w:t>
            </w:r>
          </w:p>
        </w:tc>
      </w:tr>
      <w:tr>
        <w:tc>
          <w:tcPr>
            <w:tcW w:type="dxa" w:w="2400"/>
            <w:shd w:fill="DCE6F1" w:val="clear"/>
            <w:tcMar>
              <w:top w:type="dxa" w:w="80"/>
              <w:left w:type="dxa" w:w="100"/>
              <w:bottom w:type="dxa" w:w="80"/>
              <w:right w:type="dxa" w:w="100"/>
            </w:tcMar>
            <w:vAlign w:val="center"/>
          </w:tcPr>
          <w:p>
            <w:pPr>
              <w:jc w:val="left"/>
            </w:pPr>
            <w:r>
              <w:rPr>
                <w:b/>
                <w:bCs/>
                <w:i w:val="false"/>
                <w:iCs w:val="false"/>
                <w:color w:val="1F3864"/>
                <w:sz w:val="20"/>
                <w:szCs w:val="20"/>
              </w:rPr>
              <w:t xml:space="preserve">Student Name:</w:t>
            </w:r>
          </w:p>
        </w:tc>
        <w:tc>
          <w:tcPr>
            <w:tcW w:type="dxa" w:w="2350"/>
            <w:tcMar>
              <w:top w:type="dxa" w:w="80"/>
              <w:left w:type="dxa" w:w="100"/>
              <w:bottom w:type="dxa" w:w="80"/>
              <w:right w:type="dxa" w:w="100"/>
            </w:tcMar>
            <w:vAlign w:val="center"/>
          </w:tcPr>
          <w:p>
            <w:pPr>
              <w:jc w:val="left"/>
            </w:pPr>
            <w:r>
              <w:rPr>
                <w:b w:val="false"/>
                <w:bCs w:val="false"/>
                <w:i w:val="false"/>
                <w:iCs w:val="false"/>
                <w:sz w:val="20"/>
                <w:szCs w:val="20"/>
              </w:rPr>
              <w:t xml:space="preserve">P. Pawan Teja</w:t>
            </w:r>
          </w:p>
        </w:tc>
        <w:tc>
          <w:tcPr>
            <w:tcW w:type="dxa" w:w="2400"/>
            <w:shd w:fill="DCE6F1" w:val="clear"/>
            <w:tcMar>
              <w:top w:type="dxa" w:w="80"/>
              <w:left w:type="dxa" w:w="100"/>
              <w:bottom w:type="dxa" w:w="80"/>
              <w:right w:type="dxa" w:w="100"/>
            </w:tcMar>
            <w:vAlign w:val="center"/>
          </w:tcPr>
          <w:p>
            <w:pPr>
              <w:jc w:val="left"/>
            </w:pPr>
            <w:r>
              <w:rPr>
                <w:b/>
                <w:bCs/>
                <w:i w:val="false"/>
                <w:iCs w:val="false"/>
                <w:color w:val="1F3864"/>
                <w:sz w:val="20"/>
                <w:szCs w:val="20"/>
              </w:rPr>
              <w:t xml:space="preserve">Reg. No.:</w:t>
            </w:r>
          </w:p>
        </w:tc>
        <w:tc>
          <w:tcPr>
            <w:tcW w:type="dxa" w:w="2350"/>
            <w:tcMar>
              <w:top w:type="dxa" w:w="80"/>
              <w:left w:type="dxa" w:w="100"/>
              <w:bottom w:type="dxa" w:w="80"/>
              <w:right w:type="dxa" w:w="100"/>
            </w:tcMar>
            <w:vAlign w:val="center"/>
          </w:tcPr>
          <w:p>
            <w:pPr>
              <w:jc w:val="left"/>
            </w:pPr>
            <w:r>
              <w:rPr>
                <w:b w:val="false"/>
                <w:bCs w:val="false"/>
                <w:i w:val="false"/>
                <w:iCs w:val="false"/>
                <w:sz w:val="20"/>
                <w:szCs w:val="20"/>
              </w:rPr>
              <w:t xml:space="preserve">192372303</w:t>
            </w:r>
          </w:p>
        </w:tc>
      </w:tr>
      <w:tr>
        <w:tc>
          <w:tcPr>
            <w:tcW w:type="dxa" w:w="2400"/>
            <w:shd w:fill="DCE6F1" w:val="clear"/>
            <w:tcMar>
              <w:top w:type="dxa" w:w="80"/>
              <w:left w:type="dxa" w:w="100"/>
              <w:bottom w:type="dxa" w:w="80"/>
              <w:right w:type="dxa" w:w="100"/>
            </w:tcMar>
            <w:vAlign w:val="center"/>
          </w:tcPr>
          <w:p>
            <w:pPr>
              <w:jc w:val="left"/>
            </w:pPr>
            <w:r>
              <w:rPr>
                <w:b/>
                <w:bCs/>
                <w:i w:val="false"/>
                <w:iCs w:val="false"/>
                <w:color w:val="1F3864"/>
                <w:sz w:val="20"/>
                <w:szCs w:val="20"/>
              </w:rPr>
              <w:t xml:space="preserve">Date:</w:t>
            </w:r>
          </w:p>
        </w:tc>
        <w:tc>
          <w:tcPr>
            <w:tcW w:type="dxa" w:w="2350"/>
            <w:tcMar>
              <w:top w:type="dxa" w:w="80"/>
              <w:left w:type="dxa" w:w="100"/>
              <w:bottom w:type="dxa" w:w="80"/>
              <w:right w:type="dxa" w:w="100"/>
            </w:tcMar>
            <w:vAlign w:val="center"/>
          </w:tcPr>
          <w:p>
            <w:pPr>
              <w:jc w:val="left"/>
            </w:pPr>
            <w:r>
              <w:rPr>
                <w:b w:val="false"/>
                <w:bCs w:val="false"/>
                <w:i w:val="false"/>
                <w:iCs w:val="false"/>
                <w:sz w:val="20"/>
                <w:szCs w:val="20"/>
              </w:rPr>
              <w:t xml:space="preserve">21/08/2026</w:t>
            </w:r>
          </w:p>
        </w:tc>
        <w:tc>
          <w:tcPr>
            <w:tcW w:type="dxa" w:w="2400"/>
            <w:shd w:fill="DCE6F1" w:val="clear"/>
            <w:tcMar>
              <w:top w:type="dxa" w:w="80"/>
              <w:left w:type="dxa" w:w="100"/>
              <w:bottom w:type="dxa" w:w="80"/>
              <w:right w:type="dxa" w:w="100"/>
            </w:tcMar>
            <w:vAlign w:val="center"/>
          </w:tcPr>
          <w:p>
            <w:pPr>
              <w:jc w:val="left"/>
            </w:pPr>
            <w:r>
              <w:rPr>
                <w:b/>
                <w:bCs/>
                <w:i w:val="false"/>
                <w:iCs w:val="false"/>
                <w:color w:val="1F3864"/>
                <w:sz w:val="20"/>
                <w:szCs w:val="20"/>
              </w:rPr>
              <w:t xml:space="preserve">Duration:</w:t>
            </w:r>
          </w:p>
        </w:tc>
        <w:tc>
          <w:tcPr>
            <w:tcW w:type="dxa" w:w="2350"/>
            <w:tcMar>
              <w:top w:type="dxa" w:w="80"/>
              <w:left w:type="dxa" w:w="100"/>
              <w:bottom w:type="dxa" w:w="80"/>
              <w:right w:type="dxa" w:w="100"/>
            </w:tcMar>
            <w:vAlign w:val="center"/>
          </w:tcPr>
          <w:p>
            <w:pPr>
              <w:jc w:val="left"/>
            </w:pPr>
            <w:r>
              <w:rPr>
                <w:b w:val="false"/>
                <w:bCs w:val="false"/>
                <w:i w:val="false"/>
                <w:iCs w:val="false"/>
                <w:sz w:val="20"/>
                <w:szCs w:val="20"/>
              </w:rPr>
              <w:t xml:space="preserve">60 minutes</w:t>
            </w:r>
          </w:p>
        </w:tc>
      </w:tr>
    </w:tbl>
    <w:p>
      <w:pPr>
        <w:spacing w:after="0" w:before="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FF6D9" w:val="clear"/>
            <w:tcMar>
              <w:top w:type="dxa" w:w="160"/>
              <w:left w:type="dxa" w:w="160"/>
              <w:bottom w:type="dxa" w:w="160"/>
              <w:right w:type="dxa" w:w="160"/>
            </w:tcMar>
          </w:tcPr>
          <w:p>
            <w:pPr>
              <w:spacing w:after="100"/>
            </w:pPr>
            <w:r>
              <w:rPr>
                <w:b/>
                <w:bCs/>
                <w:color w:val="C00000"/>
                <w:sz w:val="24"/>
                <w:szCs w:val="24"/>
              </w:rPr>
              <w:t xml:space="preserve">Code of Conduct</w:t>
            </w:r>
          </w:p>
          <w:p>
            <w:pPr>
              <w:spacing w:after="100"/>
            </w:pPr>
            <w:r>
              <w:rPr>
                <w:i/>
                <w:iCs/>
                <w:sz w:val="20"/>
                <w:szCs w:val="20"/>
              </w:rPr>
              <w:t xml:space="preserve">I </w:t>
            </w:r>
            <w:r>
              <w:rPr>
                <w:i/>
                <w:iCs/>
                <w:sz w:val="20"/>
                <w:szCs w:val="20"/>
                <w:u w:val="single"/>
              </w:rPr>
              <w:t xml:space="preserve">P. Pawan Teja / 192372303</w:t>
            </w:r>
            <w:r>
              <w:rPr>
                <w:i/>
                <w:iCs/>
                <w:sz w:val="20"/>
                <w:szCs w:val="20"/>
              </w:rPr>
              <w:t xml:space="preserve"> (Name / Reg No) certify that this submission is my original work and that I have adhered to the guidelines specified for this assessment. I understand that any violation of academic integrity rules will result in disciplinary action.</w:t>
            </w:r>
          </w:p>
          <w:p>
            <w:r>
              <w:rPr>
                <w:b/>
                <w:bCs/>
                <w:sz w:val="20"/>
                <w:szCs w:val="20"/>
              </w:rPr>
              <w:t xml:space="preserve">Signature of the Student: </w:t>
            </w:r>
            <w:r>
              <w:rPr>
                <w:rFonts w:ascii="Segoe Script" w:cs="Segoe Script" w:eastAsia="Segoe Script" w:hAnsi="Segoe Script"/>
                <w:i/>
                <w:iCs/>
                <w:sz w:val="26"/>
                <w:szCs w:val="26"/>
              </w:rPr>
              <w:t xml:space="preserve">Pawan Teja</w:t>
            </w:r>
          </w:p>
        </w:tc>
      </w:tr>
    </w:tbl>
    <w:p>
      <w:r>
        <w:br w:type="page"/>
      </w:r>
    </w:p>
    <w:p>
      <w:pPr>
        <w:pStyle w:val="Heading1"/>
        <w:pBdr>
          <w:bottom w:val="single" w:color="C00000" w:sz="8" w:space="4"/>
        </w:pBdr>
        <w:spacing w:after="150" w:before="300"/>
      </w:pPr>
      <w:r>
        <w:rPr>
          <w:b/>
          <w:bCs/>
          <w:color w:val="C00000"/>
          <w:sz w:val="28"/>
          <w:szCs w:val="28"/>
        </w:rPr>
        <w:t xml:space="preserve">Annexure A – CI/CD Pipeline Design Exercise</w:t>
      </w:r>
    </w:p>
    <w:p>
      <w:pPr>
        <w:pStyle w:val="Heading2"/>
        <w:spacing w:after="100" w:before="220"/>
      </w:pPr>
      <w:r>
        <w:rPr>
          <w:b/>
          <w:bCs/>
          <w:color w:val="2E4C7A"/>
          <w:sz w:val="24"/>
          <w:szCs w:val="24"/>
        </w:rPr>
        <w:t xml:space="preserve">Instructions to Students</w:t>
      </w:r>
    </w:p>
    <w:p>
      <w:pPr>
        <w:spacing w:after="100"/>
      </w:pPr>
      <w:r>
        <w:rPr>
          <w:sz w:val="20"/>
          <w:szCs w:val="20"/>
        </w:rPr>
        <w:t xml:space="preserve">Each student is assigned an individual problem statement. Based on the assigned problem statement, design a CI/CD (Continuous Integration and Continuous Deployment) pipeline for the proposed software system to automate the processes of code integration, building, testing, and deployment.</w:t>
      </w:r>
    </w:p>
    <w:p>
      <w:pPr>
        <w:spacing w:after="100"/>
      </w:pPr>
      <w:r>
        <w:rPr>
          <w:b/>
          <w:bCs/>
          <w:sz w:val="20"/>
          <w:szCs w:val="20"/>
        </w:rPr>
        <w:t xml:space="preserve">The exercise should include:</w:t>
      </w:r>
    </w:p>
    <w:p>
      <w:pPr>
        <w:pStyle w:val="ListParagraph"/>
        <w:numPr>
          <w:ilvl w:val="0"/>
          <w:numId w:val="1"/>
        </w:numPr>
        <w:spacing w:after="60"/>
      </w:pPr>
      <w:r>
        <w:rPr>
          <w:sz w:val="20"/>
          <w:szCs w:val="20"/>
        </w:rPr>
        <w:t xml:space="preserve">Analyze the project requirements and identify the CI/CD needs of the assigned problem statement.</w:t>
      </w:r>
    </w:p>
    <w:p>
      <w:pPr>
        <w:pStyle w:val="ListParagraph"/>
        <w:numPr>
          <w:ilvl w:val="0"/>
          <w:numId w:val="1"/>
        </w:numPr>
        <w:spacing w:after="60"/>
      </w:pPr>
      <w:r>
        <w:rPr>
          <w:sz w:val="20"/>
          <w:szCs w:val="20"/>
        </w:rPr>
        <w:t xml:space="preserve">Design the CI/CD pipeline workflow showing stages such as source code management, build, testing, code quality analysis, packaging, and deployment.</w:t>
      </w:r>
    </w:p>
    <w:p>
      <w:pPr>
        <w:pStyle w:val="ListParagraph"/>
        <w:numPr>
          <w:ilvl w:val="0"/>
          <w:numId w:val="1"/>
        </w:numPr>
        <w:spacing w:after="60"/>
      </w:pPr>
      <w:r>
        <w:rPr>
          <w:sz w:val="20"/>
          <w:szCs w:val="20"/>
        </w:rPr>
        <w:t xml:space="preserve">Identify suitable tools and technologies for each stage of the pipeline and justify their selection.</w:t>
      </w:r>
    </w:p>
    <w:p>
      <w:pPr>
        <w:pStyle w:val="ListParagraph"/>
        <w:numPr>
          <w:ilvl w:val="0"/>
          <w:numId w:val="1"/>
        </w:numPr>
        <w:spacing w:after="60"/>
      </w:pPr>
      <w:r>
        <w:rPr>
          <w:sz w:val="20"/>
          <w:szCs w:val="20"/>
        </w:rPr>
        <w:t xml:space="preserve">Define appropriate automated testing strategies to be integrated into the pipeline.</w:t>
      </w:r>
    </w:p>
    <w:p>
      <w:pPr>
        <w:pStyle w:val="ListParagraph"/>
        <w:numPr>
          <w:ilvl w:val="0"/>
          <w:numId w:val="1"/>
        </w:numPr>
        <w:spacing w:after="60"/>
      </w:pPr>
      <w:r>
        <w:rPr>
          <w:sz w:val="20"/>
          <w:szCs w:val="20"/>
        </w:rPr>
        <w:t xml:space="preserve">Design the deployment strategy, including development, testing/staging, and production environments.</w:t>
      </w:r>
    </w:p>
    <w:p>
      <w:pPr>
        <w:pStyle w:val="ListParagraph"/>
        <w:numPr>
          <w:ilvl w:val="0"/>
          <w:numId w:val="1"/>
        </w:numPr>
        <w:spacing w:after="60"/>
      </w:pPr>
      <w:r>
        <w:rPr>
          <w:sz w:val="20"/>
          <w:szCs w:val="20"/>
        </w:rPr>
        <w:t xml:space="preserve">Incorporate appropriate security, quality checks, notifications, and rollback mechanisms in the pipeline.</w:t>
      </w:r>
    </w:p>
    <w:p>
      <w:pPr>
        <w:pStyle w:val="ListParagraph"/>
        <w:numPr>
          <w:ilvl w:val="0"/>
          <w:numId w:val="1"/>
        </w:numPr>
        <w:spacing w:after="60"/>
      </w:pPr>
      <w:r>
        <w:rPr>
          <w:sz w:val="20"/>
          <w:szCs w:val="20"/>
        </w:rPr>
        <w:t xml:space="preserve">Prepare a CI/CD pipeline diagram and explain the workflow from code commit to deployment.</w:t>
      </w:r>
    </w:p>
    <w:p>
      <w:pPr>
        <w:spacing w:after="100"/>
      </w:pPr>
      <w:r>
        <w:rPr>
          <w:i/>
          <w:iCs/>
          <w:sz w:val="20"/>
          <w:szCs w:val="20"/>
        </w:rPr>
        <w:t xml:space="preserve">Deliverable: Submit a CI/CD Pipeline Design document containing the pipeline architecture/diagram, stages, tools, configuration/workflow, testing strategy, deployment process, and justification based on the assigned problem statement.</w:t>
      </w:r>
    </w:p>
    <w:p>
      <w:r>
        <w:br w:type="page"/>
      </w:r>
    </w:p>
    <w:p>
      <w:pPr>
        <w:pStyle w:val="Heading1"/>
        <w:pBdr>
          <w:bottom w:val="single" w:color="1F3864" w:sz="8" w:space="4"/>
        </w:pBdr>
        <w:spacing w:after="150" w:before="300"/>
      </w:pPr>
      <w:r>
        <w:rPr>
          <w:b/>
          <w:bCs/>
          <w:color w:val="1F3864"/>
          <w:sz w:val="28"/>
          <w:szCs w:val="28"/>
        </w:rPr>
        <w:t xml:space="preserve">Assigned Problem Statement 8: Smart Building Occupancy Prediction and Space Utilization Platform</w:t>
      </w:r>
    </w:p>
    <w:p>
      <w:pPr>
        <w:pStyle w:val="Heading2"/>
        <w:spacing w:after="100" w:before="220"/>
      </w:pPr>
      <w:r>
        <w:rPr>
          <w:b/>
          <w:bCs/>
          <w:color w:val="2E4C7A"/>
          <w:sz w:val="24"/>
          <w:szCs w:val="24"/>
        </w:rPr>
        <w:t xml:space="preserve">Industry Context</w:t>
      </w:r>
    </w:p>
    <w:p>
      <w:pPr>
        <w:spacing w:after="100"/>
      </w:pPr>
      <w:r>
        <w:rPr>
          <w:sz w:val="20"/>
          <w:szCs w:val="20"/>
        </w:rPr>
        <w:t xml:space="preserve">Commercial buildings, educational institutions, and corporate offices require intelligent space management to improve energy efficiency and optimize facility utilization. AI, IoT occupancy sensors, and cloud analytics enable organizations to understand occupancy trends and manage building resources efficiently.</w:t>
      </w:r>
    </w:p>
    <w:p>
      <w:pPr>
        <w:pStyle w:val="Heading2"/>
        <w:spacing w:after="100" w:before="220"/>
      </w:pPr>
      <w:r>
        <w:rPr>
          <w:b/>
          <w:bCs/>
          <w:color w:val="2E4C7A"/>
          <w:sz w:val="24"/>
          <w:szCs w:val="24"/>
        </w:rPr>
        <w:t xml:space="preserve">Problem Statement</w:t>
      </w:r>
    </w:p>
    <w:p>
      <w:pPr>
        <w:spacing w:after="100"/>
      </w:pPr>
      <w:r>
        <w:rPr>
          <w:sz w:val="20"/>
          <w:szCs w:val="20"/>
        </w:rPr>
        <w:t xml:space="preserve">Large buildings often experience inefficient utilization of meeting rooms, classrooms, and office spaces, leading to unnecessary energy consumption and increased operational costs. Manual monitoring methods fail to provide accurate occupancy information. An intelligent occupancy prediction platform should collect data from occupancy sensors, access control systems, and scheduling platforms to predict space usage. The system should optimize room allocation, reduce energy waste, and improve facility management decisions.</w:t>
      </w:r>
    </w:p>
    <w:p>
      <w:pPr>
        <w:pStyle w:val="Heading2"/>
        <w:spacing w:after="100" w:before="220"/>
      </w:pPr>
      <w:r>
        <w:rPr>
          <w:b/>
          <w:bCs/>
          <w:color w:val="2E4C7A"/>
          <w:sz w:val="24"/>
          <w:szCs w:val="24"/>
        </w:rPr>
        <w:t xml:space="preserve">Objectives</w:t>
      </w:r>
    </w:p>
    <w:p>
      <w:pPr>
        <w:pStyle w:val="ListParagraph"/>
        <w:numPr>
          <w:ilvl w:val="0"/>
          <w:numId w:val="1"/>
        </w:numPr>
        <w:spacing w:after="60"/>
      </w:pPr>
      <w:r>
        <w:rPr>
          <w:sz w:val="20"/>
          <w:szCs w:val="20"/>
        </w:rPr>
        <w:t xml:space="preserve">Monitor occupancy using IoT sensors.</w:t>
      </w:r>
    </w:p>
    <w:p>
      <w:pPr>
        <w:pStyle w:val="ListParagraph"/>
        <w:numPr>
          <w:ilvl w:val="0"/>
          <w:numId w:val="1"/>
        </w:numPr>
        <w:spacing w:after="60"/>
      </w:pPr>
      <w:r>
        <w:rPr>
          <w:sz w:val="20"/>
          <w:szCs w:val="20"/>
        </w:rPr>
        <w:t xml:space="preserve">Predict future occupancy trends.</w:t>
      </w:r>
    </w:p>
    <w:p>
      <w:pPr>
        <w:pStyle w:val="ListParagraph"/>
        <w:numPr>
          <w:ilvl w:val="0"/>
          <w:numId w:val="1"/>
        </w:numPr>
        <w:spacing w:after="60"/>
      </w:pPr>
      <w:r>
        <w:rPr>
          <w:sz w:val="20"/>
          <w:szCs w:val="20"/>
        </w:rPr>
        <w:t xml:space="preserve">Optimize room allocation.</w:t>
      </w:r>
    </w:p>
    <w:p>
      <w:pPr>
        <w:pStyle w:val="ListParagraph"/>
        <w:numPr>
          <w:ilvl w:val="0"/>
          <w:numId w:val="1"/>
        </w:numPr>
        <w:spacing w:after="60"/>
      </w:pPr>
      <w:r>
        <w:rPr>
          <w:sz w:val="20"/>
          <w:szCs w:val="20"/>
        </w:rPr>
        <w:t xml:space="preserve">Reduce energy consumption.</w:t>
      </w:r>
    </w:p>
    <w:p>
      <w:pPr>
        <w:pStyle w:val="ListParagraph"/>
        <w:numPr>
          <w:ilvl w:val="0"/>
          <w:numId w:val="1"/>
        </w:numPr>
        <w:spacing w:after="60"/>
      </w:pPr>
      <w:r>
        <w:rPr>
          <w:sz w:val="20"/>
          <w:szCs w:val="20"/>
        </w:rPr>
        <w:t xml:space="preserve">Generate occupancy analytics.</w:t>
      </w:r>
    </w:p>
    <w:p>
      <w:pPr>
        <w:pStyle w:val="ListParagraph"/>
        <w:numPr>
          <w:ilvl w:val="0"/>
          <w:numId w:val="1"/>
        </w:numPr>
        <w:spacing w:after="60"/>
      </w:pPr>
      <w:r>
        <w:rPr>
          <w:sz w:val="20"/>
          <w:szCs w:val="20"/>
        </w:rPr>
        <w:t xml:space="preserve">Support smart HVAC control.</w:t>
      </w:r>
    </w:p>
    <w:p>
      <w:pPr>
        <w:pStyle w:val="ListParagraph"/>
        <w:numPr>
          <w:ilvl w:val="0"/>
          <w:numId w:val="1"/>
        </w:numPr>
        <w:spacing w:after="60"/>
      </w:pPr>
      <w:r>
        <w:rPr>
          <w:sz w:val="20"/>
          <w:szCs w:val="20"/>
        </w:rPr>
        <w:t xml:space="preserve">Improve facility planning.</w:t>
      </w:r>
    </w:p>
    <w:p>
      <w:pPr>
        <w:pStyle w:val="ListParagraph"/>
        <w:numPr>
          <w:ilvl w:val="0"/>
          <w:numId w:val="1"/>
        </w:numPr>
        <w:spacing w:after="60"/>
      </w:pPr>
      <w:r>
        <w:rPr>
          <w:sz w:val="20"/>
          <w:szCs w:val="20"/>
        </w:rPr>
        <w:t xml:space="preserve">Enhance building efficiency.</w:t>
      </w:r>
    </w:p>
    <w:p>
      <w:pPr>
        <w:pStyle w:val="Heading2"/>
        <w:spacing w:after="100" w:before="220"/>
      </w:pPr>
      <w:r>
        <w:rPr>
          <w:b/>
          <w:bCs/>
          <w:color w:val="2E4C7A"/>
          <w:sz w:val="24"/>
          <w:szCs w:val="24"/>
        </w:rPr>
        <w:t xml:space="preserve">Expected Outcomes</w:t>
      </w:r>
    </w:p>
    <w:p>
      <w:pPr>
        <w:pStyle w:val="ListParagraph"/>
        <w:numPr>
          <w:ilvl w:val="0"/>
          <w:numId w:val="1"/>
        </w:numPr>
        <w:spacing w:after="60"/>
      </w:pPr>
      <w:r>
        <w:rPr>
          <w:sz w:val="20"/>
          <w:szCs w:val="20"/>
        </w:rPr>
        <w:t xml:space="preserve">Better space utilization.</w:t>
      </w:r>
    </w:p>
    <w:p>
      <w:pPr>
        <w:pStyle w:val="ListParagraph"/>
        <w:numPr>
          <w:ilvl w:val="0"/>
          <w:numId w:val="1"/>
        </w:numPr>
        <w:spacing w:after="60"/>
      </w:pPr>
      <w:r>
        <w:rPr>
          <w:sz w:val="20"/>
          <w:szCs w:val="20"/>
        </w:rPr>
        <w:t xml:space="preserve">Reduced operational costs.</w:t>
      </w:r>
    </w:p>
    <w:p>
      <w:pPr>
        <w:pStyle w:val="ListParagraph"/>
        <w:numPr>
          <w:ilvl w:val="0"/>
          <w:numId w:val="1"/>
        </w:numPr>
        <w:spacing w:after="60"/>
      </w:pPr>
      <w:r>
        <w:rPr>
          <w:sz w:val="20"/>
          <w:szCs w:val="20"/>
        </w:rPr>
        <w:t xml:space="preserve">Improved energy efficiency.</w:t>
      </w:r>
    </w:p>
    <w:p>
      <w:pPr>
        <w:pStyle w:val="ListParagraph"/>
        <w:numPr>
          <w:ilvl w:val="0"/>
          <w:numId w:val="1"/>
        </w:numPr>
        <w:spacing w:after="60"/>
      </w:pPr>
      <w:r>
        <w:rPr>
          <w:sz w:val="20"/>
          <w:szCs w:val="20"/>
        </w:rPr>
        <w:t xml:space="preserve">Accurate occupancy prediction.</w:t>
      </w:r>
    </w:p>
    <w:p>
      <w:pPr>
        <w:pStyle w:val="ListParagraph"/>
        <w:numPr>
          <w:ilvl w:val="0"/>
          <w:numId w:val="1"/>
        </w:numPr>
        <w:spacing w:after="60"/>
      </w:pPr>
      <w:r>
        <w:rPr>
          <w:sz w:val="20"/>
          <w:szCs w:val="20"/>
        </w:rPr>
        <w:t xml:space="preserve">Enhanced facility management.</w:t>
      </w:r>
    </w:p>
    <w:p>
      <w:pPr>
        <w:pStyle w:val="ListParagraph"/>
        <w:numPr>
          <w:ilvl w:val="0"/>
          <w:numId w:val="1"/>
        </w:numPr>
        <w:spacing w:after="60"/>
      </w:pPr>
      <w:r>
        <w:rPr>
          <w:sz w:val="20"/>
          <w:szCs w:val="20"/>
        </w:rPr>
        <w:t xml:space="preserve">Automated resource allocation.</w:t>
      </w:r>
    </w:p>
    <w:p>
      <w:pPr>
        <w:pStyle w:val="ListParagraph"/>
        <w:numPr>
          <w:ilvl w:val="0"/>
          <w:numId w:val="1"/>
        </w:numPr>
        <w:spacing w:after="60"/>
      </w:pPr>
      <w:r>
        <w:rPr>
          <w:sz w:val="20"/>
          <w:szCs w:val="20"/>
        </w:rPr>
        <w:t xml:space="preserve">Increased user comfort.</w:t>
      </w:r>
    </w:p>
    <w:p>
      <w:pPr>
        <w:pStyle w:val="ListParagraph"/>
        <w:numPr>
          <w:ilvl w:val="0"/>
          <w:numId w:val="1"/>
        </w:numPr>
        <w:spacing w:after="60"/>
      </w:pPr>
      <w:r>
        <w:rPr>
          <w:sz w:val="20"/>
          <w:szCs w:val="20"/>
        </w:rPr>
        <w:t xml:space="preserve">Sustainable building operations.</w:t>
      </w:r>
    </w:p>
    <w:p>
      <w:r>
        <w:br w:type="page"/>
      </w:r>
    </w:p>
    <w:p>
      <w:pPr>
        <w:pStyle w:val="Heading1"/>
        <w:pBdr>
          <w:bottom w:val="single" w:color="1F3864" w:sz="8" w:space="4"/>
        </w:pBdr>
        <w:spacing w:after="150" w:before="300"/>
      </w:pPr>
      <w:r>
        <w:rPr>
          <w:b/>
          <w:bCs/>
          <w:color w:val="1F3864"/>
          <w:sz w:val="28"/>
          <w:szCs w:val="28"/>
        </w:rPr>
        <w:t xml:space="preserve">CI/CD Pipeline Design Document</w:t>
      </w:r>
    </w:p>
    <w:p>
      <w:pPr>
        <w:spacing w:after="100"/>
      </w:pPr>
      <w:r>
        <w:rPr>
          <w:b/>
          <w:bCs/>
          <w:sz w:val="20"/>
          <w:szCs w:val="20"/>
        </w:rPr>
        <w:t xml:space="preserve">System under design: Smart Building Occupancy Prediction and Space Utilization Platform.</w:t>
      </w:r>
    </w:p>
    <w:p>
      <w:pPr>
        <w:pStyle w:val="Heading2"/>
        <w:spacing w:after="100" w:before="220"/>
      </w:pPr>
      <w:r>
        <w:rPr>
          <w:b/>
          <w:bCs/>
          <w:color w:val="2E4C7A"/>
          <w:sz w:val="24"/>
          <w:szCs w:val="24"/>
        </w:rPr>
        <w:t xml:space="preserve">1. Requirement &amp; CI/CD Pipeline Analysis</w:t>
      </w:r>
    </w:p>
    <w:p>
      <w:pPr>
        <w:spacing w:after="100"/>
      </w:pPr>
      <w:r>
        <w:rPr>
          <w:sz w:val="20"/>
          <w:szCs w:val="20"/>
        </w:rPr>
        <w:t xml:space="preserve">The platform is a multi-microservice, IoT-integrated system with strict reliability, privacy, and near-real-time requirements. The following CI/CD needs were identified from the problem statement: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Need</w:t>
            </w:r>
          </w:p>
        </w:tc>
        <w:tc>
          <w:tcPr>
            <w:tcW w:type="dxa" w:w="69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Why it matters for this system</w:t>
            </w:r>
          </w:p>
        </w:tc>
      </w:tr>
      <w:tr>
        <w:tc>
          <w:tcPr>
            <w:tcW w:type="dxa" w:w="2600"/>
            <w:tcMar>
              <w:top w:type="dxa" w:w="80"/>
              <w:left w:type="dxa" w:w="100"/>
              <w:bottom w:type="dxa" w:w="80"/>
              <w:right w:type="dxa" w:w="100"/>
            </w:tcMar>
            <w:vAlign w:val="center"/>
          </w:tcPr>
          <w:p>
            <w:pPr>
              <w:jc w:val="left"/>
            </w:pPr>
            <w:r>
              <w:rPr>
                <w:b w:val="false"/>
                <w:bCs w:val="false"/>
                <w:i w:val="false"/>
                <w:iCs w:val="false"/>
                <w:sz w:val="18"/>
                <w:szCs w:val="18"/>
              </w:rPr>
              <w:t xml:space="preserve">Frequent, safe releases</w:t>
            </w:r>
          </w:p>
        </w:tc>
        <w:tc>
          <w:tcPr>
            <w:tcW w:type="dxa" w:w="6900"/>
            <w:tcMar>
              <w:top w:type="dxa" w:w="80"/>
              <w:left w:type="dxa" w:w="100"/>
              <w:bottom w:type="dxa" w:w="80"/>
              <w:right w:type="dxa" w:w="100"/>
            </w:tcMar>
            <w:vAlign w:val="center"/>
          </w:tcPr>
          <w:p>
            <w:pPr>
              <w:jc w:val="left"/>
            </w:pPr>
            <w:r>
              <w:rPr>
                <w:b w:val="false"/>
                <w:bCs w:val="false"/>
                <w:i w:val="false"/>
                <w:iCs w:val="false"/>
                <w:sz w:val="18"/>
                <w:szCs w:val="18"/>
              </w:rPr>
              <w:t xml:space="preserve">Prediction models, allocation rules, and HVAC-control logic are updated often; automated pipelines prevent manual-deployment errors across many microservices.</w:t>
            </w:r>
          </w:p>
        </w:tc>
      </w:tr>
      <w:tr>
        <w:tc>
          <w:tcPr>
            <w:tcW w:type="dxa" w:w="2600"/>
            <w:tcMar>
              <w:top w:type="dxa" w:w="80"/>
              <w:left w:type="dxa" w:w="100"/>
              <w:bottom w:type="dxa" w:w="80"/>
              <w:right w:type="dxa" w:w="100"/>
            </w:tcMar>
            <w:vAlign w:val="center"/>
          </w:tcPr>
          <w:p>
            <w:pPr>
              <w:jc w:val="left"/>
            </w:pPr>
            <w:r>
              <w:rPr>
                <w:b w:val="false"/>
                <w:bCs w:val="false"/>
                <w:i w:val="false"/>
                <w:iCs w:val="false"/>
                <w:sz w:val="18"/>
                <w:szCs w:val="18"/>
              </w:rPr>
              <w:t xml:space="preserve">Multi-service architecture</w:t>
            </w:r>
          </w:p>
        </w:tc>
        <w:tc>
          <w:tcPr>
            <w:tcW w:type="dxa" w:w="6900"/>
            <w:tcMar>
              <w:top w:type="dxa" w:w="80"/>
              <w:left w:type="dxa" w:w="100"/>
              <w:bottom w:type="dxa" w:w="80"/>
              <w:right w:type="dxa" w:w="100"/>
            </w:tcMar>
            <w:vAlign w:val="center"/>
          </w:tcPr>
          <w:p>
            <w:pPr>
              <w:jc w:val="left"/>
            </w:pPr>
            <w:r>
              <w:rPr>
                <w:b w:val="false"/>
                <w:bCs w:val="false"/>
                <w:i w:val="false"/>
                <w:iCs w:val="false"/>
                <w:sz w:val="18"/>
                <w:szCs w:val="18"/>
              </w:rPr>
              <w:t xml:space="preserve">Sensor ingestion, access-control integration, scheduling sync, prediction engine, allocation, HVAC control, analytics, and alerting are separate services requiring independent build/test/deploy.</w:t>
            </w:r>
          </w:p>
        </w:tc>
      </w:tr>
      <w:tr>
        <w:tc>
          <w:tcPr>
            <w:tcW w:type="dxa" w:w="2600"/>
            <w:tcMar>
              <w:top w:type="dxa" w:w="80"/>
              <w:left w:type="dxa" w:w="100"/>
              <w:bottom w:type="dxa" w:w="80"/>
              <w:right w:type="dxa" w:w="100"/>
            </w:tcMar>
            <w:vAlign w:val="center"/>
          </w:tcPr>
          <w:p>
            <w:pPr>
              <w:jc w:val="left"/>
            </w:pPr>
            <w:r>
              <w:rPr>
                <w:b w:val="false"/>
                <w:bCs w:val="false"/>
                <w:i w:val="false"/>
                <w:iCs w:val="false"/>
                <w:sz w:val="18"/>
                <w:szCs w:val="18"/>
              </w:rPr>
              <w:t xml:space="preserve">Hardware/IoT integration risk</w:t>
            </w:r>
          </w:p>
        </w:tc>
        <w:tc>
          <w:tcPr>
            <w:tcW w:type="dxa" w:w="6900"/>
            <w:tcMar>
              <w:top w:type="dxa" w:w="80"/>
              <w:left w:type="dxa" w:w="100"/>
              <w:bottom w:type="dxa" w:w="80"/>
              <w:right w:type="dxa" w:w="100"/>
            </w:tcMar>
            <w:vAlign w:val="center"/>
          </w:tcPr>
          <w:p>
            <w:pPr>
              <w:jc w:val="left"/>
            </w:pPr>
            <w:r>
              <w:rPr>
                <w:b w:val="false"/>
                <w:bCs w:val="false"/>
                <w:i w:val="false"/>
                <w:iCs w:val="false"/>
                <w:sz w:val="18"/>
                <w:szCs w:val="18"/>
              </w:rPr>
              <w:t xml:space="preserve">Sensor and HVAC-controller integrations must be validated with simulators before touching real building hardware — pipeline must gate deployment behind simulation tests.</w:t>
            </w:r>
          </w:p>
        </w:tc>
      </w:tr>
      <w:tr>
        <w:tc>
          <w:tcPr>
            <w:tcW w:type="dxa" w:w="2600"/>
            <w:tcMar>
              <w:top w:type="dxa" w:w="80"/>
              <w:left w:type="dxa" w:w="100"/>
              <w:bottom w:type="dxa" w:w="80"/>
              <w:right w:type="dxa" w:w="100"/>
            </w:tcMar>
            <w:vAlign w:val="center"/>
          </w:tcPr>
          <w:p>
            <w:pPr>
              <w:jc w:val="left"/>
            </w:pPr>
            <w:r>
              <w:rPr>
                <w:b w:val="false"/>
                <w:bCs w:val="false"/>
                <w:i w:val="false"/>
                <w:iCs w:val="false"/>
                <w:sz w:val="18"/>
                <w:szCs w:val="18"/>
              </w:rPr>
              <w:t xml:space="preserve">Data &amp; privacy sensitivity</w:t>
            </w:r>
          </w:p>
        </w:tc>
        <w:tc>
          <w:tcPr>
            <w:tcW w:type="dxa" w:w="6900"/>
            <w:tcMar>
              <w:top w:type="dxa" w:w="80"/>
              <w:left w:type="dxa" w:w="100"/>
              <w:bottom w:type="dxa" w:w="80"/>
              <w:right w:type="dxa" w:w="100"/>
            </w:tcMar>
            <w:vAlign w:val="center"/>
          </w:tcPr>
          <w:p>
            <w:pPr>
              <w:jc w:val="left"/>
            </w:pPr>
            <w:r>
              <w:rPr>
                <w:b w:val="false"/>
                <w:bCs w:val="false"/>
                <w:i w:val="false"/>
                <w:iCs w:val="false"/>
                <w:sz w:val="18"/>
                <w:szCs w:val="18"/>
              </w:rPr>
              <w:t xml:space="preserve">Occupancy data requires encryption and anonymization checks; security scanning must be part of every build, not a manual afterthought.</w:t>
            </w:r>
          </w:p>
        </w:tc>
      </w:tr>
      <w:tr>
        <w:tc>
          <w:tcPr>
            <w:tcW w:type="dxa" w:w="2600"/>
            <w:tcMar>
              <w:top w:type="dxa" w:w="80"/>
              <w:left w:type="dxa" w:w="100"/>
              <w:bottom w:type="dxa" w:w="80"/>
              <w:right w:type="dxa" w:w="100"/>
            </w:tcMar>
            <w:vAlign w:val="center"/>
          </w:tcPr>
          <w:p>
            <w:pPr>
              <w:jc w:val="left"/>
            </w:pPr>
            <w:r>
              <w:rPr>
                <w:b w:val="false"/>
                <w:bCs w:val="false"/>
                <w:i w:val="false"/>
                <w:iCs w:val="false"/>
                <w:sz w:val="18"/>
                <w:szCs w:val="18"/>
              </w:rPr>
              <w:t xml:space="preserve">High availability requirement</w:t>
            </w:r>
          </w:p>
        </w:tc>
        <w:tc>
          <w:tcPr>
            <w:tcW w:type="dxa" w:w="6900"/>
            <w:tcMar>
              <w:top w:type="dxa" w:w="80"/>
              <w:left w:type="dxa" w:w="100"/>
              <w:bottom w:type="dxa" w:w="80"/>
              <w:right w:type="dxa" w:w="100"/>
            </w:tcMar>
            <w:vAlign w:val="center"/>
          </w:tcPr>
          <w:p>
            <w:pPr>
              <w:jc w:val="left"/>
            </w:pPr>
            <w:r>
              <w:rPr>
                <w:b w:val="false"/>
                <w:bCs w:val="false"/>
                <w:i w:val="false"/>
                <w:iCs w:val="false"/>
                <w:sz w:val="18"/>
                <w:szCs w:val="18"/>
              </w:rPr>
              <w:t xml:space="preserve">99.9% uptime target (NFR) means deployments must use zero/low-downtime strategies (blue-green or canary) with automated rollback.</w:t>
            </w:r>
          </w:p>
        </w:tc>
      </w:tr>
      <w:tr>
        <w:tc>
          <w:tcPr>
            <w:tcW w:type="dxa" w:w="2600"/>
            <w:tcMar>
              <w:top w:type="dxa" w:w="80"/>
              <w:left w:type="dxa" w:w="100"/>
              <w:bottom w:type="dxa" w:w="80"/>
              <w:right w:type="dxa" w:w="100"/>
            </w:tcMar>
            <w:vAlign w:val="center"/>
          </w:tcPr>
          <w:p>
            <w:pPr>
              <w:jc w:val="left"/>
            </w:pPr>
            <w:r>
              <w:rPr>
                <w:b w:val="false"/>
                <w:bCs w:val="false"/>
                <w:i w:val="false"/>
                <w:iCs w:val="false"/>
                <w:sz w:val="18"/>
                <w:szCs w:val="18"/>
              </w:rPr>
              <w:t xml:space="preserve">Multi-environment rollout</w:t>
            </w:r>
          </w:p>
        </w:tc>
        <w:tc>
          <w:tcPr>
            <w:tcW w:type="dxa" w:w="6900"/>
            <w:tcMar>
              <w:top w:type="dxa" w:w="80"/>
              <w:left w:type="dxa" w:w="100"/>
              <w:bottom w:type="dxa" w:w="80"/>
              <w:right w:type="dxa" w:w="100"/>
            </w:tcMar>
            <w:vAlign w:val="center"/>
          </w:tcPr>
          <w:p>
            <w:pPr>
              <w:jc w:val="left"/>
            </w:pPr>
            <w:r>
              <w:rPr>
                <w:b w:val="false"/>
                <w:bCs w:val="false"/>
                <w:i w:val="false"/>
                <w:iCs w:val="false"/>
                <w:sz w:val="18"/>
                <w:szCs w:val="18"/>
              </w:rPr>
              <w:t xml:space="preserve">Changes must be verified in Dev and Staging (with simulated sensors/bookings) before reaching Production buildings.</w:t>
            </w:r>
          </w:p>
        </w:tc>
      </w:tr>
    </w:tbl>
    <w:p>
      <w:pPr>
        <w:pStyle w:val="Heading2"/>
        <w:spacing w:after="100" w:before="220"/>
      </w:pPr>
      <w:r>
        <w:rPr>
          <w:b/>
          <w:bCs/>
          <w:color w:val="2E4C7A"/>
          <w:sz w:val="24"/>
          <w:szCs w:val="24"/>
        </w:rPr>
        <w:t xml:space="preserve">2. Pipeline Architecture &amp; Workflow</w:t>
      </w:r>
    </w:p>
    <w:p>
      <w:pPr>
        <w:spacing w:after="100"/>
      </w:pPr>
      <w:r>
        <w:rPr>
          <w:sz w:val="20"/>
          <w:szCs w:val="20"/>
        </w:rPr>
        <w:t xml:space="preserve">The pipeline below covers code commit through production deployment. Stages 1–5 run on every commit/PR (Continuous Integration); stages 6–10 handle promotion across environments (Continuous Deployment) with an automated rollback loop.</w:t>
      </w:r>
    </w:p>
    <w:p>
      <w:pPr>
        <w:spacing w:after="120" w:before="120"/>
        <w:jc w:val="center"/>
      </w:pPr>
      <w:r>
        <w:drawing>
          <wp:inline distT="0" distB="0" distL="0" distR="0">
            <wp:extent cx="6286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3419475"/>
                    </a:xfrm>
                    <a:prstGeom prst="rect">
                      <a:avLst/>
                    </a:prstGeom>
                  </pic:spPr>
                </pic:pic>
              </a:graphicData>
            </a:graphic>
          </wp:inline>
        </w:drawing>
      </w:r>
    </w:p>
    <w:p>
      <w:pPr>
        <w:spacing w:after="100"/>
      </w:pPr>
      <w:r>
        <w:rPr>
          <w:b/>
          <w:bCs/>
          <w:sz w:val="20"/>
          <w:szCs w:val="20"/>
        </w:rPr>
        <w:t xml:space="preserve">Workflow explanation:</w:t>
      </w:r>
    </w:p>
    <w:p>
      <w:pPr>
        <w:pStyle w:val="ListParagraph"/>
        <w:numPr>
          <w:ilvl w:val="0"/>
          <w:numId w:val="1"/>
        </w:numPr>
        <w:spacing w:after="60"/>
      </w:pPr>
      <w:r>
        <w:rPr>
          <w:sz w:val="20"/>
          <w:szCs w:val="20"/>
        </w:rPr>
        <w:t xml:space="preserve">Commit &amp; Trigger: a developer pushes to a feature branch and opens a PR; a merge to `develop` or `main` triggers the CI pipeline via a GitHub webhook.</w:t>
      </w:r>
    </w:p>
    <w:p>
      <w:pPr>
        <w:pStyle w:val="ListParagraph"/>
        <w:numPr>
          <w:ilvl w:val="0"/>
          <w:numId w:val="1"/>
        </w:numPr>
        <w:spacing w:after="60"/>
      </w:pPr>
      <w:r>
        <w:rPr>
          <w:sz w:val="20"/>
          <w:szCs w:val="20"/>
        </w:rPr>
        <w:t xml:space="preserve">Build: each affected microservice is compiled/packaged and a Docker image is built.</w:t>
      </w:r>
    </w:p>
    <w:p>
      <w:pPr>
        <w:pStyle w:val="ListParagraph"/>
        <w:numPr>
          <w:ilvl w:val="0"/>
          <w:numId w:val="1"/>
        </w:numPr>
        <w:spacing w:after="60"/>
      </w:pPr>
      <w:r>
        <w:rPr>
          <w:sz w:val="20"/>
          <w:szCs w:val="20"/>
        </w:rPr>
        <w:t xml:space="preserve">Automated Testing: unit, integration, and API-contract tests run against the freshly built images.</w:t>
      </w:r>
    </w:p>
    <w:p>
      <w:pPr>
        <w:pStyle w:val="ListParagraph"/>
        <w:numPr>
          <w:ilvl w:val="0"/>
          <w:numId w:val="1"/>
        </w:numPr>
        <w:spacing w:after="60"/>
      </w:pPr>
      <w:r>
        <w:rPr>
          <w:sz w:val="20"/>
          <w:szCs w:val="20"/>
        </w:rPr>
        <w:t xml:space="preserve">Code Quality &amp; Security Scan: SonarQube quality gate plus Trivy/Snyk vulnerability scans must pass before proceeding.</w:t>
      </w:r>
    </w:p>
    <w:p>
      <w:pPr>
        <w:pStyle w:val="ListParagraph"/>
        <w:numPr>
          <w:ilvl w:val="0"/>
          <w:numId w:val="1"/>
        </w:numPr>
        <w:spacing w:after="60"/>
      </w:pPr>
      <w:r>
        <w:rPr>
          <w:sz w:val="20"/>
          <w:szCs w:val="20"/>
        </w:rPr>
        <w:t xml:space="preserve">Package &amp; Publish: images that pass all gates are tagged with the commit SHA and pushed to the container registry.</w:t>
      </w:r>
    </w:p>
    <w:p>
      <w:pPr>
        <w:pStyle w:val="ListParagraph"/>
        <w:numPr>
          <w:ilvl w:val="0"/>
          <w:numId w:val="1"/>
        </w:numPr>
        <w:spacing w:after="60"/>
      </w:pPr>
      <w:r>
        <w:rPr>
          <w:sz w:val="20"/>
          <w:szCs w:val="20"/>
        </w:rPr>
        <w:t xml:space="preserve">Deploy to Dev → Staging: automatic deployment with post-deploy smoke tests; Staging additionally runs the full regression suite and IoT-simulator tests.</w:t>
      </w:r>
    </w:p>
    <w:p>
      <w:pPr>
        <w:pStyle w:val="ListParagraph"/>
        <w:numPr>
          <w:ilvl w:val="0"/>
          <w:numId w:val="1"/>
        </w:numPr>
        <w:spacing w:after="60"/>
      </w:pPr>
      <w:r>
        <w:rPr>
          <w:sz w:val="20"/>
          <w:szCs w:val="20"/>
        </w:rPr>
        <w:t xml:space="preserve">Manual Approval Gate: a Release Manager/QA lead reviews Staging results and approves promotion to Production.</w:t>
      </w:r>
    </w:p>
    <w:p>
      <w:pPr>
        <w:pStyle w:val="ListParagraph"/>
        <w:numPr>
          <w:ilvl w:val="0"/>
          <w:numId w:val="1"/>
        </w:numPr>
        <w:spacing w:after="60"/>
      </w:pPr>
      <w:r>
        <w:rPr>
          <w:sz w:val="20"/>
          <w:szCs w:val="20"/>
        </w:rPr>
        <w:t xml:space="preserve">Deploy to Production: a blue-green/canary rollout gradually shifts real building traffic to the new version.</w:t>
      </w:r>
    </w:p>
    <w:p>
      <w:pPr>
        <w:pStyle w:val="ListParagraph"/>
        <w:numPr>
          <w:ilvl w:val="0"/>
          <w:numId w:val="1"/>
        </w:numPr>
        <w:spacing w:after="60"/>
      </w:pPr>
      <w:r>
        <w:rPr>
          <w:sz w:val="20"/>
          <w:szCs w:val="20"/>
        </w:rPr>
        <w:t xml:space="preserve">Monitor &amp; Rollback: Prometheus/Grafana continuously evaluate health; any failure automatically rolls the deployment back to the last stable release.</w:t>
      </w:r>
    </w:p>
    <w:p>
      <w:pPr>
        <w:pStyle w:val="ListParagraph"/>
        <w:numPr>
          <w:ilvl w:val="0"/>
          <w:numId w:val="1"/>
        </w:numPr>
        <w:spacing w:after="60"/>
      </w:pPr>
      <w:r>
        <w:rPr>
          <w:sz w:val="20"/>
          <w:szCs w:val="20"/>
        </w:rPr>
        <w:t xml:space="preserve">Notifications &amp; Audit Logging run in parallel with every stage, keeping the team informed and providing a full audit trail.</w:t>
      </w:r>
    </w:p>
    <w:p>
      <w:pPr>
        <w:pStyle w:val="Heading2"/>
        <w:spacing w:after="100" w:before="220"/>
      </w:pPr>
      <w:r>
        <w:rPr>
          <w:b/>
          <w:bCs/>
          <w:color w:val="2E4C7A"/>
          <w:sz w:val="24"/>
          <w:szCs w:val="24"/>
        </w:rPr>
        <w:t xml:space="preserve">3. Tools &amp; Technology Selection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800"/>
      </w:tblGrid>
      <w:tr>
        <w:tc>
          <w:tcPr>
            <w:tcW w:type="dxa" w:w="21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Pipeline Stage / Concern</w:t>
            </w:r>
          </w:p>
        </w:tc>
        <w:tc>
          <w:tcPr>
            <w:tcW w:type="dxa" w:w="26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Tool(s) Selected</w:t>
            </w:r>
          </w:p>
        </w:tc>
        <w:tc>
          <w:tcPr>
            <w:tcW w:type="dxa" w:w="48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Justification</w:t>
            </w:r>
          </w:p>
        </w:tc>
      </w:tr>
      <w:tr>
        <w:tc>
          <w:tcPr>
            <w:tcW w:type="dxa" w:w="2100"/>
            <w:tcMar>
              <w:top w:type="dxa" w:w="80"/>
              <w:left w:type="dxa" w:w="100"/>
              <w:bottom w:type="dxa" w:w="80"/>
              <w:right w:type="dxa" w:w="100"/>
            </w:tcMar>
            <w:vAlign w:val="center"/>
          </w:tcPr>
          <w:p>
            <w:pPr>
              <w:jc w:val="left"/>
            </w:pPr>
            <w:r>
              <w:rPr>
                <w:b w:val="false"/>
                <w:bCs w:val="false"/>
                <w:i w:val="false"/>
                <w:iCs w:val="false"/>
                <w:sz w:val="18"/>
                <w:szCs w:val="18"/>
              </w:rPr>
              <w:t xml:space="preserve">Source Control Management</w:t>
            </w:r>
          </w:p>
        </w:tc>
        <w:tc>
          <w:tcPr>
            <w:tcW w:type="dxa" w:w="2600"/>
            <w:tcMar>
              <w:top w:type="dxa" w:w="80"/>
              <w:left w:type="dxa" w:w="100"/>
              <w:bottom w:type="dxa" w:w="80"/>
              <w:right w:type="dxa" w:w="100"/>
            </w:tcMar>
            <w:vAlign w:val="center"/>
          </w:tcPr>
          <w:p>
            <w:pPr>
              <w:jc w:val="left"/>
            </w:pPr>
            <w:r>
              <w:rPr>
                <w:b w:val="false"/>
                <w:bCs w:val="false"/>
                <w:i w:val="false"/>
                <w:iCs w:val="false"/>
                <w:sz w:val="18"/>
                <w:szCs w:val="18"/>
              </w:rPr>
              <w:t xml:space="preserve">Git + GitHub (with branch protection &amp; PR reviews)</w:t>
            </w:r>
          </w:p>
        </w:tc>
        <w:tc>
          <w:tcPr>
            <w:tcW w:type="dxa" w:w="4800"/>
            <w:tcMar>
              <w:top w:type="dxa" w:w="80"/>
              <w:left w:type="dxa" w:w="100"/>
              <w:bottom w:type="dxa" w:w="80"/>
              <w:right w:type="dxa" w:w="100"/>
            </w:tcMar>
            <w:vAlign w:val="center"/>
          </w:tcPr>
          <w:p>
            <w:pPr>
              <w:jc w:val="left"/>
            </w:pPr>
            <w:r>
              <w:rPr>
                <w:b w:val="false"/>
                <w:bCs w:val="false"/>
                <w:i w:val="false"/>
                <w:iCs w:val="false"/>
                <w:sz w:val="18"/>
                <w:szCs w:val="18"/>
              </w:rPr>
              <w:t xml:space="preserve">Industry-standard distributed VCS; GitHub Actions integrates natively for CI triggers and code review gating.</w:t>
            </w:r>
          </w:p>
        </w:tc>
      </w:tr>
      <w:tr>
        <w:tc>
          <w:tcPr>
            <w:tcW w:type="dxa" w:w="2100"/>
            <w:tcMar>
              <w:top w:type="dxa" w:w="80"/>
              <w:left w:type="dxa" w:w="100"/>
              <w:bottom w:type="dxa" w:w="80"/>
              <w:right w:type="dxa" w:w="100"/>
            </w:tcMar>
            <w:vAlign w:val="center"/>
          </w:tcPr>
          <w:p>
            <w:pPr>
              <w:jc w:val="left"/>
            </w:pPr>
            <w:r>
              <w:rPr>
                <w:b w:val="false"/>
                <w:bCs w:val="false"/>
                <w:i w:val="false"/>
                <w:iCs w:val="false"/>
                <w:sz w:val="18"/>
                <w:szCs w:val="18"/>
              </w:rPr>
              <w:t xml:space="preserve">CI Orchestration</w:t>
            </w:r>
          </w:p>
        </w:tc>
        <w:tc>
          <w:tcPr>
            <w:tcW w:type="dxa" w:w="2600"/>
            <w:tcMar>
              <w:top w:type="dxa" w:w="80"/>
              <w:left w:type="dxa" w:w="100"/>
              <w:bottom w:type="dxa" w:w="80"/>
              <w:right w:type="dxa" w:w="100"/>
            </w:tcMar>
            <w:vAlign w:val="center"/>
          </w:tcPr>
          <w:p>
            <w:pPr>
              <w:jc w:val="left"/>
            </w:pPr>
            <w:r>
              <w:rPr>
                <w:b w:val="false"/>
                <w:bCs w:val="false"/>
                <w:i w:val="false"/>
                <w:iCs w:val="false"/>
                <w:sz w:val="18"/>
                <w:szCs w:val="18"/>
              </w:rPr>
              <w:t xml:space="preserve">GitHub Actions (self-hosted runners for IoT simulators)</w:t>
            </w:r>
          </w:p>
        </w:tc>
        <w:tc>
          <w:tcPr>
            <w:tcW w:type="dxa" w:w="4800"/>
            <w:tcMar>
              <w:top w:type="dxa" w:w="80"/>
              <w:left w:type="dxa" w:w="100"/>
              <w:bottom w:type="dxa" w:w="80"/>
              <w:right w:type="dxa" w:w="100"/>
            </w:tcMar>
            <w:vAlign w:val="center"/>
          </w:tcPr>
          <w:p>
            <w:pPr>
              <w:jc w:val="left"/>
            </w:pPr>
            <w:r>
              <w:rPr>
                <w:b w:val="false"/>
                <w:bCs w:val="false"/>
                <w:i w:val="false"/>
                <w:iCs w:val="false"/>
                <w:sz w:val="18"/>
                <w:szCs w:val="18"/>
              </w:rPr>
              <w:t xml:space="preserve">Tight Git integration, free for the scale needed, supports matrix builds for the multiple microservices.</w:t>
            </w:r>
          </w:p>
        </w:tc>
      </w:tr>
      <w:tr>
        <w:tc>
          <w:tcPr>
            <w:tcW w:type="dxa" w:w="2100"/>
            <w:tcMar>
              <w:top w:type="dxa" w:w="80"/>
              <w:left w:type="dxa" w:w="100"/>
              <w:bottom w:type="dxa" w:w="80"/>
              <w:right w:type="dxa" w:w="100"/>
            </w:tcMar>
            <w:vAlign w:val="center"/>
          </w:tcPr>
          <w:p>
            <w:pPr>
              <w:jc w:val="left"/>
            </w:pPr>
            <w:r>
              <w:rPr>
                <w:b w:val="false"/>
                <w:bCs w:val="false"/>
                <w:i w:val="false"/>
                <w:iCs w:val="false"/>
                <w:sz w:val="18"/>
                <w:szCs w:val="18"/>
              </w:rPr>
              <w:t xml:space="preserve">Build &amp; Containerization</w:t>
            </w:r>
          </w:p>
        </w:tc>
        <w:tc>
          <w:tcPr>
            <w:tcW w:type="dxa" w:w="2600"/>
            <w:tcMar>
              <w:top w:type="dxa" w:w="80"/>
              <w:left w:type="dxa" w:w="100"/>
              <w:bottom w:type="dxa" w:w="80"/>
              <w:right w:type="dxa" w:w="100"/>
            </w:tcMar>
            <w:vAlign w:val="center"/>
          </w:tcPr>
          <w:p>
            <w:pPr>
              <w:jc w:val="left"/>
            </w:pPr>
            <w:r>
              <w:rPr>
                <w:b w:val="false"/>
                <w:bCs w:val="false"/>
                <w:i w:val="false"/>
                <w:iCs w:val="false"/>
                <w:sz w:val="18"/>
                <w:szCs w:val="18"/>
              </w:rPr>
              <w:t xml:space="preserve">Docker + Docker Compose</w:t>
            </w:r>
          </w:p>
        </w:tc>
        <w:tc>
          <w:tcPr>
            <w:tcW w:type="dxa" w:w="4800"/>
            <w:tcMar>
              <w:top w:type="dxa" w:w="80"/>
              <w:left w:type="dxa" w:w="100"/>
              <w:bottom w:type="dxa" w:w="80"/>
              <w:right w:type="dxa" w:w="100"/>
            </w:tcMar>
            <w:vAlign w:val="center"/>
          </w:tcPr>
          <w:p>
            <w:pPr>
              <w:jc w:val="left"/>
            </w:pPr>
            <w:r>
              <w:rPr>
                <w:b w:val="false"/>
                <w:bCs w:val="false"/>
                <w:i w:val="false"/>
                <w:iCs w:val="false"/>
                <w:sz w:val="18"/>
                <w:szCs w:val="18"/>
              </w:rPr>
              <w:t xml:space="preserve">Each microservice (ingestion, prediction, allocation, HVAC-control, analytics) is packaged as an independent, reproducible container image.</w:t>
            </w:r>
          </w:p>
        </w:tc>
      </w:tr>
      <w:tr>
        <w:tc>
          <w:tcPr>
            <w:tcW w:type="dxa" w:w="2100"/>
            <w:tcMar>
              <w:top w:type="dxa" w:w="80"/>
              <w:left w:type="dxa" w:w="100"/>
              <w:bottom w:type="dxa" w:w="80"/>
              <w:right w:type="dxa" w:w="100"/>
            </w:tcMar>
            <w:vAlign w:val="center"/>
          </w:tcPr>
          <w:p>
            <w:pPr>
              <w:jc w:val="left"/>
            </w:pPr>
            <w:r>
              <w:rPr>
                <w:b w:val="false"/>
                <w:bCs w:val="false"/>
                <w:i w:val="false"/>
                <w:iCs w:val="false"/>
                <w:sz w:val="18"/>
                <w:szCs w:val="18"/>
              </w:rPr>
              <w:t xml:space="preserve">Dependency/Package Management</w:t>
            </w:r>
          </w:p>
        </w:tc>
        <w:tc>
          <w:tcPr>
            <w:tcW w:type="dxa" w:w="2600"/>
            <w:tcMar>
              <w:top w:type="dxa" w:w="80"/>
              <w:left w:type="dxa" w:w="100"/>
              <w:bottom w:type="dxa" w:w="80"/>
              <w:right w:type="dxa" w:w="100"/>
            </w:tcMar>
            <w:vAlign w:val="center"/>
          </w:tcPr>
          <w:p>
            <w:pPr>
              <w:jc w:val="left"/>
            </w:pPr>
            <w:r>
              <w:rPr>
                <w:b w:val="false"/>
                <w:bCs w:val="false"/>
                <w:i w:val="false"/>
                <w:iCs w:val="false"/>
                <w:sz w:val="18"/>
                <w:szCs w:val="18"/>
              </w:rPr>
              <w:t xml:space="preserve">npm / pip (per service) with lockfiles</w:t>
            </w:r>
          </w:p>
        </w:tc>
        <w:tc>
          <w:tcPr>
            <w:tcW w:type="dxa" w:w="4800"/>
            <w:tcMar>
              <w:top w:type="dxa" w:w="80"/>
              <w:left w:type="dxa" w:w="100"/>
              <w:bottom w:type="dxa" w:w="80"/>
              <w:right w:type="dxa" w:w="100"/>
            </w:tcMar>
            <w:vAlign w:val="center"/>
          </w:tcPr>
          <w:p>
            <w:pPr>
              <w:jc w:val="left"/>
            </w:pPr>
            <w:r>
              <w:rPr>
                <w:b w:val="false"/>
                <w:bCs w:val="false"/>
                <w:i w:val="false"/>
                <w:iCs w:val="false"/>
                <w:sz w:val="18"/>
                <w:szCs w:val="18"/>
              </w:rPr>
              <w:t xml:space="preserve">Ensures reproducible builds and enables automated vulnerability scanning of dependencies.</w:t>
            </w:r>
          </w:p>
        </w:tc>
      </w:tr>
      <w:tr>
        <w:tc>
          <w:tcPr>
            <w:tcW w:type="dxa" w:w="2100"/>
            <w:tcMar>
              <w:top w:type="dxa" w:w="80"/>
              <w:left w:type="dxa" w:w="100"/>
              <w:bottom w:type="dxa" w:w="80"/>
              <w:right w:type="dxa" w:w="100"/>
            </w:tcMar>
            <w:vAlign w:val="center"/>
          </w:tcPr>
          <w:p>
            <w:pPr>
              <w:jc w:val="left"/>
            </w:pPr>
            <w:r>
              <w:rPr>
                <w:b w:val="false"/>
                <w:bCs w:val="false"/>
                <w:i w:val="false"/>
                <w:iCs w:val="false"/>
                <w:sz w:val="18"/>
                <w:szCs w:val="18"/>
              </w:rPr>
              <w:t xml:space="preserve">Unit &amp; Integration Testing</w:t>
            </w:r>
          </w:p>
        </w:tc>
        <w:tc>
          <w:tcPr>
            <w:tcW w:type="dxa" w:w="2600"/>
            <w:tcMar>
              <w:top w:type="dxa" w:w="80"/>
              <w:left w:type="dxa" w:w="100"/>
              <w:bottom w:type="dxa" w:w="80"/>
              <w:right w:type="dxa" w:w="100"/>
            </w:tcMar>
            <w:vAlign w:val="center"/>
          </w:tcPr>
          <w:p>
            <w:pPr>
              <w:jc w:val="left"/>
            </w:pPr>
            <w:r>
              <w:rPr>
                <w:b w:val="false"/>
                <w:bCs w:val="false"/>
                <w:i w:val="false"/>
                <w:iCs w:val="false"/>
                <w:sz w:val="18"/>
                <w:szCs w:val="18"/>
              </w:rPr>
              <w:t xml:space="preserve">Jest / PyTest + Postman-Newman (API contract tests)</w:t>
            </w:r>
          </w:p>
        </w:tc>
        <w:tc>
          <w:tcPr>
            <w:tcW w:type="dxa" w:w="4800"/>
            <w:tcMar>
              <w:top w:type="dxa" w:w="80"/>
              <w:left w:type="dxa" w:w="100"/>
              <w:bottom w:type="dxa" w:w="80"/>
              <w:right w:type="dxa" w:w="100"/>
            </w:tcMar>
            <w:vAlign w:val="center"/>
          </w:tcPr>
          <w:p>
            <w:pPr>
              <w:jc w:val="left"/>
            </w:pPr>
            <w:r>
              <w:rPr>
                <w:b w:val="false"/>
                <w:bCs w:val="false"/>
                <w:i w:val="false"/>
                <w:iCs w:val="false"/>
                <w:sz w:val="18"/>
                <w:szCs w:val="18"/>
              </w:rPr>
              <w:t xml:space="preserve">Widely adopted frameworks; Newman allows automated contract testing of REST APIs between services in CI.</w:t>
            </w:r>
          </w:p>
        </w:tc>
      </w:tr>
      <w:tr>
        <w:tc>
          <w:tcPr>
            <w:tcW w:type="dxa" w:w="2100"/>
            <w:tcMar>
              <w:top w:type="dxa" w:w="80"/>
              <w:left w:type="dxa" w:w="100"/>
              <w:bottom w:type="dxa" w:w="80"/>
              <w:right w:type="dxa" w:w="100"/>
            </w:tcMar>
            <w:vAlign w:val="center"/>
          </w:tcPr>
          <w:p>
            <w:pPr>
              <w:jc w:val="left"/>
            </w:pPr>
            <w:r>
              <w:rPr>
                <w:b w:val="false"/>
                <w:bCs w:val="false"/>
                <w:i w:val="false"/>
                <w:iCs w:val="false"/>
                <w:sz w:val="18"/>
                <w:szCs w:val="18"/>
              </w:rPr>
              <w:t xml:space="preserve">IoT/Sensor Simulation Testing</w:t>
            </w:r>
          </w:p>
        </w:tc>
        <w:tc>
          <w:tcPr>
            <w:tcW w:type="dxa" w:w="2600"/>
            <w:tcMar>
              <w:top w:type="dxa" w:w="80"/>
              <w:left w:type="dxa" w:w="100"/>
              <w:bottom w:type="dxa" w:w="80"/>
              <w:right w:type="dxa" w:w="100"/>
            </w:tcMar>
            <w:vAlign w:val="center"/>
          </w:tcPr>
          <w:p>
            <w:pPr>
              <w:jc w:val="left"/>
            </w:pPr>
            <w:r>
              <w:rPr>
                <w:b w:val="false"/>
                <w:bCs w:val="false"/>
                <w:i w:val="false"/>
                <w:iCs w:val="false"/>
                <w:sz w:val="18"/>
                <w:szCs w:val="18"/>
              </w:rPr>
              <w:t xml:space="preserve">Custom sensor-simulator harness (MQTT test broker)</w:t>
            </w:r>
          </w:p>
        </w:tc>
        <w:tc>
          <w:tcPr>
            <w:tcW w:type="dxa" w:w="4800"/>
            <w:tcMar>
              <w:top w:type="dxa" w:w="80"/>
              <w:left w:type="dxa" w:w="100"/>
              <w:bottom w:type="dxa" w:w="80"/>
              <w:right w:type="dxa" w:w="100"/>
            </w:tcMar>
            <w:vAlign w:val="center"/>
          </w:tcPr>
          <w:p>
            <w:pPr>
              <w:jc w:val="left"/>
            </w:pPr>
            <w:r>
              <w:rPr>
                <w:b w:val="false"/>
                <w:bCs w:val="false"/>
                <w:i w:val="false"/>
                <w:iCs w:val="false"/>
                <w:sz w:val="18"/>
                <w:szCs w:val="18"/>
              </w:rPr>
              <w:t xml:space="preserve">Emulates occupancy sensor and HVAC controller behavior so hardware-dependent logic is verified without physical devices.</w:t>
            </w:r>
          </w:p>
        </w:tc>
      </w:tr>
      <w:tr>
        <w:tc>
          <w:tcPr>
            <w:tcW w:type="dxa" w:w="2100"/>
            <w:tcMar>
              <w:top w:type="dxa" w:w="80"/>
              <w:left w:type="dxa" w:w="100"/>
              <w:bottom w:type="dxa" w:w="80"/>
              <w:right w:type="dxa" w:w="100"/>
            </w:tcMar>
            <w:vAlign w:val="center"/>
          </w:tcPr>
          <w:p>
            <w:pPr>
              <w:jc w:val="left"/>
            </w:pPr>
            <w:r>
              <w:rPr>
                <w:b w:val="false"/>
                <w:bCs w:val="false"/>
                <w:i w:val="false"/>
                <w:iCs w:val="false"/>
                <w:sz w:val="18"/>
                <w:szCs w:val="18"/>
              </w:rPr>
              <w:t xml:space="preserve">Code Quality Analysis</w:t>
            </w:r>
          </w:p>
        </w:tc>
        <w:tc>
          <w:tcPr>
            <w:tcW w:type="dxa" w:w="2600"/>
            <w:tcMar>
              <w:top w:type="dxa" w:w="80"/>
              <w:left w:type="dxa" w:w="100"/>
              <w:bottom w:type="dxa" w:w="80"/>
              <w:right w:type="dxa" w:w="100"/>
            </w:tcMar>
            <w:vAlign w:val="center"/>
          </w:tcPr>
          <w:p>
            <w:pPr>
              <w:jc w:val="left"/>
            </w:pPr>
            <w:r>
              <w:rPr>
                <w:b w:val="false"/>
                <w:bCs w:val="false"/>
                <w:i w:val="false"/>
                <w:iCs w:val="false"/>
                <w:sz w:val="18"/>
                <w:szCs w:val="18"/>
              </w:rPr>
              <w:t xml:space="preserve">SonarQube</w:t>
            </w:r>
          </w:p>
        </w:tc>
        <w:tc>
          <w:tcPr>
            <w:tcW w:type="dxa" w:w="4800"/>
            <w:tcMar>
              <w:top w:type="dxa" w:w="80"/>
              <w:left w:type="dxa" w:w="100"/>
              <w:bottom w:type="dxa" w:w="80"/>
              <w:right w:type="dxa" w:w="100"/>
            </w:tcMar>
            <w:vAlign w:val="center"/>
          </w:tcPr>
          <w:p>
            <w:pPr>
              <w:jc w:val="left"/>
            </w:pPr>
            <w:r>
              <w:rPr>
                <w:b w:val="false"/>
                <w:bCs w:val="false"/>
                <w:i w:val="false"/>
                <w:iCs w:val="false"/>
                <w:sz w:val="18"/>
                <w:szCs w:val="18"/>
              </w:rPr>
              <w:t xml:space="preserve">Detects code smells, duplication, and maintainability issues; enforces quality gates before merge.</w:t>
            </w:r>
          </w:p>
        </w:tc>
      </w:tr>
      <w:tr>
        <w:tc>
          <w:tcPr>
            <w:tcW w:type="dxa" w:w="2100"/>
            <w:tcMar>
              <w:top w:type="dxa" w:w="80"/>
              <w:left w:type="dxa" w:w="100"/>
              <w:bottom w:type="dxa" w:w="80"/>
              <w:right w:type="dxa" w:w="100"/>
            </w:tcMar>
            <w:vAlign w:val="center"/>
          </w:tcPr>
          <w:p>
            <w:pPr>
              <w:jc w:val="left"/>
            </w:pPr>
            <w:r>
              <w:rPr>
                <w:b w:val="false"/>
                <w:bCs w:val="false"/>
                <w:i w:val="false"/>
                <w:iCs w:val="false"/>
                <w:sz w:val="18"/>
                <w:szCs w:val="18"/>
              </w:rPr>
              <w:t xml:space="preserve">Security Scanning</w:t>
            </w:r>
          </w:p>
        </w:tc>
        <w:tc>
          <w:tcPr>
            <w:tcW w:type="dxa" w:w="2600"/>
            <w:tcMar>
              <w:top w:type="dxa" w:w="80"/>
              <w:left w:type="dxa" w:w="100"/>
              <w:bottom w:type="dxa" w:w="80"/>
              <w:right w:type="dxa" w:w="100"/>
            </w:tcMar>
            <w:vAlign w:val="center"/>
          </w:tcPr>
          <w:p>
            <w:pPr>
              <w:jc w:val="left"/>
            </w:pPr>
            <w:r>
              <w:rPr>
                <w:b w:val="false"/>
                <w:bCs w:val="false"/>
                <w:i w:val="false"/>
                <w:iCs w:val="false"/>
                <w:sz w:val="18"/>
                <w:szCs w:val="18"/>
              </w:rPr>
              <w:t xml:space="preserve">Trivy (container/image scan) + Snyk (dependency SCA)</w:t>
            </w:r>
          </w:p>
        </w:tc>
        <w:tc>
          <w:tcPr>
            <w:tcW w:type="dxa" w:w="4800"/>
            <w:tcMar>
              <w:top w:type="dxa" w:w="80"/>
              <w:left w:type="dxa" w:w="100"/>
              <w:bottom w:type="dxa" w:w="80"/>
              <w:right w:type="dxa" w:w="100"/>
            </w:tcMar>
            <w:vAlign w:val="center"/>
          </w:tcPr>
          <w:p>
            <w:pPr>
              <w:jc w:val="left"/>
            </w:pPr>
            <w:r>
              <w:rPr>
                <w:b w:val="false"/>
                <w:bCs w:val="false"/>
                <w:i w:val="false"/>
                <w:iCs w:val="false"/>
                <w:sz w:val="18"/>
                <w:szCs w:val="18"/>
              </w:rPr>
              <w:t xml:space="preserve">Scans Docker images and dependencies for known CVEs before packaging; blocks pipeline on critical vulnerabilities.</w:t>
            </w:r>
          </w:p>
        </w:tc>
      </w:tr>
      <w:tr>
        <w:tc>
          <w:tcPr>
            <w:tcW w:type="dxa" w:w="2100"/>
            <w:tcMar>
              <w:top w:type="dxa" w:w="80"/>
              <w:left w:type="dxa" w:w="100"/>
              <w:bottom w:type="dxa" w:w="80"/>
              <w:right w:type="dxa" w:w="100"/>
            </w:tcMar>
            <w:vAlign w:val="center"/>
          </w:tcPr>
          <w:p>
            <w:pPr>
              <w:jc w:val="left"/>
            </w:pPr>
            <w:r>
              <w:rPr>
                <w:b w:val="false"/>
                <w:bCs w:val="false"/>
                <w:i w:val="false"/>
                <w:iCs w:val="false"/>
                <w:sz w:val="18"/>
                <w:szCs w:val="18"/>
              </w:rPr>
              <w:t xml:space="preserve">Artifact/Container Registry</w:t>
            </w:r>
          </w:p>
        </w:tc>
        <w:tc>
          <w:tcPr>
            <w:tcW w:type="dxa" w:w="2600"/>
            <w:tcMar>
              <w:top w:type="dxa" w:w="80"/>
              <w:left w:type="dxa" w:w="100"/>
              <w:bottom w:type="dxa" w:w="80"/>
              <w:right w:type="dxa" w:w="100"/>
            </w:tcMar>
            <w:vAlign w:val="center"/>
          </w:tcPr>
          <w:p>
            <w:pPr>
              <w:jc w:val="left"/>
            </w:pPr>
            <w:r>
              <w:rPr>
                <w:b w:val="false"/>
                <w:bCs w:val="false"/>
                <w:i w:val="false"/>
                <w:iCs w:val="false"/>
                <w:sz w:val="18"/>
                <w:szCs w:val="18"/>
              </w:rPr>
              <w:t xml:space="preserve">Docker Hub / Amazon ECR (private)</w:t>
            </w:r>
          </w:p>
        </w:tc>
        <w:tc>
          <w:tcPr>
            <w:tcW w:type="dxa" w:w="4800"/>
            <w:tcMar>
              <w:top w:type="dxa" w:w="80"/>
              <w:left w:type="dxa" w:w="100"/>
              <w:bottom w:type="dxa" w:w="80"/>
              <w:right w:type="dxa" w:w="100"/>
            </w:tcMar>
            <w:vAlign w:val="center"/>
          </w:tcPr>
          <w:p>
            <w:pPr>
              <w:jc w:val="left"/>
            </w:pPr>
            <w:r>
              <w:rPr>
                <w:b w:val="false"/>
                <w:bCs w:val="false"/>
                <w:i w:val="false"/>
                <w:iCs w:val="false"/>
                <w:sz w:val="18"/>
                <w:szCs w:val="18"/>
              </w:rPr>
              <w:t xml:space="preserve">Central, versioned storage for built images consumed by all deployment stages.</w:t>
            </w:r>
          </w:p>
        </w:tc>
      </w:tr>
      <w:tr>
        <w:tc>
          <w:tcPr>
            <w:tcW w:type="dxa" w:w="2100"/>
            <w:tcMar>
              <w:top w:type="dxa" w:w="80"/>
              <w:left w:type="dxa" w:w="100"/>
              <w:bottom w:type="dxa" w:w="80"/>
              <w:right w:type="dxa" w:w="100"/>
            </w:tcMar>
            <w:vAlign w:val="center"/>
          </w:tcPr>
          <w:p>
            <w:pPr>
              <w:jc w:val="left"/>
            </w:pPr>
            <w:r>
              <w:rPr>
                <w:b w:val="false"/>
                <w:bCs w:val="false"/>
                <w:i w:val="false"/>
                <w:iCs w:val="false"/>
                <w:sz w:val="18"/>
                <w:szCs w:val="18"/>
              </w:rPr>
              <w:t xml:space="preserve">Deployment Orchestration</w:t>
            </w:r>
          </w:p>
        </w:tc>
        <w:tc>
          <w:tcPr>
            <w:tcW w:type="dxa" w:w="2600"/>
            <w:tcMar>
              <w:top w:type="dxa" w:w="80"/>
              <w:left w:type="dxa" w:w="100"/>
              <w:bottom w:type="dxa" w:w="80"/>
              <w:right w:type="dxa" w:w="100"/>
            </w:tcMar>
            <w:vAlign w:val="center"/>
          </w:tcPr>
          <w:p>
            <w:pPr>
              <w:jc w:val="left"/>
            </w:pPr>
            <w:r>
              <w:rPr>
                <w:b w:val="false"/>
                <w:bCs w:val="false"/>
                <w:i w:val="false"/>
                <w:iCs w:val="false"/>
                <w:sz w:val="18"/>
                <w:szCs w:val="18"/>
              </w:rPr>
              <w:t xml:space="preserve">Kubernetes (Helm charts)</w:t>
            </w:r>
          </w:p>
        </w:tc>
        <w:tc>
          <w:tcPr>
            <w:tcW w:type="dxa" w:w="4800"/>
            <w:tcMar>
              <w:top w:type="dxa" w:w="80"/>
              <w:left w:type="dxa" w:w="100"/>
              <w:bottom w:type="dxa" w:w="80"/>
              <w:right w:type="dxa" w:w="100"/>
            </w:tcMar>
            <w:vAlign w:val="center"/>
          </w:tcPr>
          <w:p>
            <w:pPr>
              <w:jc w:val="left"/>
            </w:pPr>
            <w:r>
              <w:rPr>
                <w:b w:val="false"/>
                <w:bCs w:val="false"/>
                <w:i w:val="false"/>
                <w:iCs w:val="false"/>
                <w:sz w:val="18"/>
                <w:szCs w:val="18"/>
              </w:rPr>
              <w:t xml:space="preserve">Enables blue-green/canary rollout, auto-scaling for sensor ingestion load, and self-healing of failed pods.</w:t>
            </w:r>
          </w:p>
        </w:tc>
      </w:tr>
      <w:tr>
        <w:tc>
          <w:tcPr>
            <w:tcW w:type="dxa" w:w="2100"/>
            <w:tcMar>
              <w:top w:type="dxa" w:w="80"/>
              <w:left w:type="dxa" w:w="100"/>
              <w:bottom w:type="dxa" w:w="80"/>
              <w:right w:type="dxa" w:w="100"/>
            </w:tcMar>
            <w:vAlign w:val="center"/>
          </w:tcPr>
          <w:p>
            <w:pPr>
              <w:jc w:val="left"/>
            </w:pPr>
            <w:r>
              <w:rPr>
                <w:b w:val="false"/>
                <w:bCs w:val="false"/>
                <w:i w:val="false"/>
                <w:iCs w:val="false"/>
                <w:sz w:val="18"/>
                <w:szCs w:val="18"/>
              </w:rPr>
              <w:t xml:space="preserve">Infrastructure as Code</w:t>
            </w:r>
          </w:p>
        </w:tc>
        <w:tc>
          <w:tcPr>
            <w:tcW w:type="dxa" w:w="2600"/>
            <w:tcMar>
              <w:top w:type="dxa" w:w="80"/>
              <w:left w:type="dxa" w:w="100"/>
              <w:bottom w:type="dxa" w:w="80"/>
              <w:right w:type="dxa" w:w="100"/>
            </w:tcMar>
            <w:vAlign w:val="center"/>
          </w:tcPr>
          <w:p>
            <w:pPr>
              <w:jc w:val="left"/>
            </w:pPr>
            <w:r>
              <w:rPr>
                <w:b w:val="false"/>
                <w:bCs w:val="false"/>
                <w:i w:val="false"/>
                <w:iCs w:val="false"/>
                <w:sz w:val="18"/>
                <w:szCs w:val="18"/>
              </w:rPr>
              <w:t xml:space="preserve">Terraform</w:t>
            </w:r>
          </w:p>
        </w:tc>
        <w:tc>
          <w:tcPr>
            <w:tcW w:type="dxa" w:w="4800"/>
            <w:tcMar>
              <w:top w:type="dxa" w:w="80"/>
              <w:left w:type="dxa" w:w="100"/>
              <w:bottom w:type="dxa" w:w="80"/>
              <w:right w:type="dxa" w:w="100"/>
            </w:tcMar>
            <w:vAlign w:val="center"/>
          </w:tcPr>
          <w:p>
            <w:pPr>
              <w:jc w:val="left"/>
            </w:pPr>
            <w:r>
              <w:rPr>
                <w:b w:val="false"/>
                <w:bCs w:val="false"/>
                <w:i w:val="false"/>
                <w:iCs w:val="false"/>
                <w:sz w:val="18"/>
                <w:szCs w:val="18"/>
              </w:rPr>
              <w:t xml:space="preserve">Provisions cloud infrastructure (compute, message broker, databases) consistently across Dev/Staging/Prod.</w:t>
            </w:r>
          </w:p>
        </w:tc>
      </w:tr>
      <w:tr>
        <w:tc>
          <w:tcPr>
            <w:tcW w:type="dxa" w:w="2100"/>
            <w:tcMar>
              <w:top w:type="dxa" w:w="80"/>
              <w:left w:type="dxa" w:w="100"/>
              <w:bottom w:type="dxa" w:w="80"/>
              <w:right w:type="dxa" w:w="100"/>
            </w:tcMar>
            <w:vAlign w:val="center"/>
          </w:tcPr>
          <w:p>
            <w:pPr>
              <w:jc w:val="left"/>
            </w:pPr>
            <w:r>
              <w:rPr>
                <w:b w:val="false"/>
                <w:bCs w:val="false"/>
                <w:i w:val="false"/>
                <w:iCs w:val="false"/>
                <w:sz w:val="18"/>
                <w:szCs w:val="18"/>
              </w:rPr>
              <w:t xml:space="preserve">Monitoring &amp; Alerting</w:t>
            </w:r>
          </w:p>
        </w:tc>
        <w:tc>
          <w:tcPr>
            <w:tcW w:type="dxa" w:w="2600"/>
            <w:tcMar>
              <w:top w:type="dxa" w:w="80"/>
              <w:left w:type="dxa" w:w="100"/>
              <w:bottom w:type="dxa" w:w="80"/>
              <w:right w:type="dxa" w:w="100"/>
            </w:tcMar>
            <w:vAlign w:val="center"/>
          </w:tcPr>
          <w:p>
            <w:pPr>
              <w:jc w:val="left"/>
            </w:pPr>
            <w:r>
              <w:rPr>
                <w:b w:val="false"/>
                <w:bCs w:val="false"/>
                <w:i w:val="false"/>
                <w:iCs w:val="false"/>
                <w:sz w:val="18"/>
                <w:szCs w:val="18"/>
              </w:rPr>
              <w:t xml:space="preserve">Prometheus + Grafana</w:t>
            </w:r>
          </w:p>
        </w:tc>
        <w:tc>
          <w:tcPr>
            <w:tcW w:type="dxa" w:w="4800"/>
            <w:tcMar>
              <w:top w:type="dxa" w:w="80"/>
              <w:left w:type="dxa" w:w="100"/>
              <w:bottom w:type="dxa" w:w="80"/>
              <w:right w:type="dxa" w:w="100"/>
            </w:tcMar>
            <w:vAlign w:val="center"/>
          </w:tcPr>
          <w:p>
            <w:pPr>
              <w:jc w:val="left"/>
            </w:pPr>
            <w:r>
              <w:rPr>
                <w:b w:val="false"/>
                <w:bCs w:val="false"/>
                <w:i w:val="false"/>
                <w:iCs w:val="false"/>
                <w:sz w:val="18"/>
                <w:szCs w:val="18"/>
              </w:rPr>
              <w:t xml:space="preserve">Real-time metrics on occupancy-ingestion latency, HVAC command success rate, and system health for rollback triggers.</w:t>
            </w:r>
          </w:p>
        </w:tc>
      </w:tr>
      <w:tr>
        <w:tc>
          <w:tcPr>
            <w:tcW w:type="dxa" w:w="2100"/>
            <w:tcMar>
              <w:top w:type="dxa" w:w="80"/>
              <w:left w:type="dxa" w:w="100"/>
              <w:bottom w:type="dxa" w:w="80"/>
              <w:right w:type="dxa" w:w="100"/>
            </w:tcMar>
            <w:vAlign w:val="center"/>
          </w:tcPr>
          <w:p>
            <w:pPr>
              <w:jc w:val="left"/>
            </w:pPr>
            <w:r>
              <w:rPr>
                <w:b w:val="false"/>
                <w:bCs w:val="false"/>
                <w:i w:val="false"/>
                <w:iCs w:val="false"/>
                <w:sz w:val="18"/>
                <w:szCs w:val="18"/>
              </w:rPr>
              <w:t xml:space="preserve">Notifications</w:t>
            </w:r>
          </w:p>
        </w:tc>
        <w:tc>
          <w:tcPr>
            <w:tcW w:type="dxa" w:w="2600"/>
            <w:tcMar>
              <w:top w:type="dxa" w:w="80"/>
              <w:left w:type="dxa" w:w="100"/>
              <w:bottom w:type="dxa" w:w="80"/>
              <w:right w:type="dxa" w:w="100"/>
            </w:tcMar>
            <w:vAlign w:val="center"/>
          </w:tcPr>
          <w:p>
            <w:pPr>
              <w:jc w:val="left"/>
            </w:pPr>
            <w:r>
              <w:rPr>
                <w:b w:val="false"/>
                <w:bCs w:val="false"/>
                <w:i w:val="false"/>
                <w:iCs w:val="false"/>
                <w:sz w:val="18"/>
                <w:szCs w:val="18"/>
              </w:rPr>
              <w:t xml:space="preserve">Slack / Microsoft Teams webhooks + email</w:t>
            </w:r>
          </w:p>
        </w:tc>
        <w:tc>
          <w:tcPr>
            <w:tcW w:type="dxa" w:w="4800"/>
            <w:tcMar>
              <w:top w:type="dxa" w:w="80"/>
              <w:left w:type="dxa" w:w="100"/>
              <w:bottom w:type="dxa" w:w="80"/>
              <w:right w:type="dxa" w:w="100"/>
            </w:tcMar>
            <w:vAlign w:val="center"/>
          </w:tcPr>
          <w:p>
            <w:pPr>
              <w:jc w:val="left"/>
            </w:pPr>
            <w:r>
              <w:rPr>
                <w:b w:val="false"/>
                <w:bCs w:val="false"/>
                <w:i w:val="false"/>
                <w:iCs w:val="false"/>
                <w:sz w:val="18"/>
                <w:szCs w:val="18"/>
              </w:rPr>
              <w:t xml:space="preserve">Immediate visibility of pipeline status (build, test, scan, deploy, rollback) to the DevOps and facility-ops teams.</w:t>
            </w:r>
          </w:p>
        </w:tc>
      </w:tr>
      <w:tr>
        <w:tc>
          <w:tcPr>
            <w:tcW w:type="dxa" w:w="2100"/>
            <w:tcMar>
              <w:top w:type="dxa" w:w="80"/>
              <w:left w:type="dxa" w:w="100"/>
              <w:bottom w:type="dxa" w:w="80"/>
              <w:right w:type="dxa" w:w="100"/>
            </w:tcMar>
            <w:vAlign w:val="center"/>
          </w:tcPr>
          <w:p>
            <w:pPr>
              <w:jc w:val="left"/>
            </w:pPr>
            <w:r>
              <w:rPr>
                <w:b w:val="false"/>
                <w:bCs w:val="false"/>
                <w:i w:val="false"/>
                <w:iCs w:val="false"/>
                <w:sz w:val="18"/>
                <w:szCs w:val="18"/>
              </w:rPr>
              <w:t xml:space="preserve">Secrets Management</w:t>
            </w:r>
          </w:p>
        </w:tc>
        <w:tc>
          <w:tcPr>
            <w:tcW w:type="dxa" w:w="2600"/>
            <w:tcMar>
              <w:top w:type="dxa" w:w="80"/>
              <w:left w:type="dxa" w:w="100"/>
              <w:bottom w:type="dxa" w:w="80"/>
              <w:right w:type="dxa" w:w="100"/>
            </w:tcMar>
            <w:vAlign w:val="center"/>
          </w:tcPr>
          <w:p>
            <w:pPr>
              <w:jc w:val="left"/>
            </w:pPr>
            <w:r>
              <w:rPr>
                <w:b w:val="false"/>
                <w:bCs w:val="false"/>
                <w:i w:val="false"/>
                <w:iCs w:val="false"/>
                <w:sz w:val="18"/>
                <w:szCs w:val="18"/>
              </w:rPr>
              <w:t xml:space="preserve">HashiCorp Vault / GitHub Encrypted Secrets</w:t>
            </w:r>
          </w:p>
        </w:tc>
        <w:tc>
          <w:tcPr>
            <w:tcW w:type="dxa" w:w="4800"/>
            <w:tcMar>
              <w:top w:type="dxa" w:w="80"/>
              <w:left w:type="dxa" w:w="100"/>
              <w:bottom w:type="dxa" w:w="80"/>
              <w:right w:type="dxa" w:w="100"/>
            </w:tcMar>
            <w:vAlign w:val="center"/>
          </w:tcPr>
          <w:p>
            <w:pPr>
              <w:jc w:val="left"/>
            </w:pPr>
            <w:r>
              <w:rPr>
                <w:b w:val="false"/>
                <w:bCs w:val="false"/>
                <w:i w:val="false"/>
                <w:iCs w:val="false"/>
                <w:sz w:val="18"/>
                <w:szCs w:val="18"/>
              </w:rPr>
              <w:t xml:space="preserve">Keeps API keys for scheduling/access-control integrations and cloud credentials out of source code.</w:t>
            </w:r>
          </w:p>
        </w:tc>
      </w:tr>
    </w:tbl>
    <w:p>
      <w:pPr>
        <w:pStyle w:val="Heading2"/>
        <w:spacing w:after="100" w:before="220"/>
      </w:pPr>
      <w:r>
        <w:rPr>
          <w:b/>
          <w:bCs/>
          <w:color w:val="2E4C7A"/>
          <w:sz w:val="24"/>
          <w:szCs w:val="24"/>
        </w:rPr>
        <w:t xml:space="preserve">4. Automated Testing Strategy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3800"/>
        <w:gridCol w:w="2000"/>
      </w:tblGrid>
      <w:tr>
        <w:tc>
          <w:tcPr>
            <w:tcW w:type="dxa" w:w="18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Test Type</w:t>
            </w:r>
          </w:p>
        </w:tc>
        <w:tc>
          <w:tcPr>
            <w:tcW w:type="dxa" w:w="19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When it Runs</w:t>
            </w:r>
          </w:p>
        </w:tc>
        <w:tc>
          <w:tcPr>
            <w:tcW w:type="dxa" w:w="38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Purpose</w:t>
            </w:r>
          </w:p>
        </w:tc>
        <w:tc>
          <w:tcPr>
            <w:tcW w:type="dxa" w:w="20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Tooling</w:t>
            </w:r>
          </w:p>
        </w:tc>
      </w:tr>
      <w:tr>
        <w:tc>
          <w:tcPr>
            <w:tcW w:type="dxa" w:w="1800"/>
            <w:tcMar>
              <w:top w:type="dxa" w:w="80"/>
              <w:left w:type="dxa" w:w="100"/>
              <w:bottom w:type="dxa" w:w="80"/>
              <w:right w:type="dxa" w:w="100"/>
            </w:tcMar>
            <w:vAlign w:val="center"/>
          </w:tcPr>
          <w:p>
            <w:pPr>
              <w:jc w:val="left"/>
            </w:pPr>
            <w:r>
              <w:rPr>
                <w:b w:val="false"/>
                <w:bCs w:val="false"/>
                <w:i w:val="false"/>
                <w:iCs w:val="false"/>
                <w:sz w:val="18"/>
                <w:szCs w:val="18"/>
              </w:rPr>
              <w:t xml:space="preserve">Unit Tests</w:t>
            </w:r>
          </w:p>
        </w:tc>
        <w:tc>
          <w:tcPr>
            <w:tcW w:type="dxa" w:w="1900"/>
            <w:tcMar>
              <w:top w:type="dxa" w:w="80"/>
              <w:left w:type="dxa" w:w="100"/>
              <w:bottom w:type="dxa" w:w="80"/>
              <w:right w:type="dxa" w:w="100"/>
            </w:tcMar>
            <w:vAlign w:val="center"/>
          </w:tcPr>
          <w:p>
            <w:pPr>
              <w:jc w:val="left"/>
            </w:pPr>
            <w:r>
              <w:rPr>
                <w:b w:val="false"/>
                <w:bCs w:val="false"/>
                <w:i w:val="false"/>
                <w:iCs w:val="false"/>
                <w:sz w:val="18"/>
                <w:szCs w:val="18"/>
              </w:rPr>
              <w:t xml:space="preserve">Every commit / PR</w:t>
            </w:r>
          </w:p>
        </w:tc>
        <w:tc>
          <w:tcPr>
            <w:tcW w:type="dxa" w:w="3800"/>
            <w:tcMar>
              <w:top w:type="dxa" w:w="80"/>
              <w:left w:type="dxa" w:w="100"/>
              <w:bottom w:type="dxa" w:w="80"/>
              <w:right w:type="dxa" w:w="100"/>
            </w:tcMar>
            <w:vAlign w:val="center"/>
          </w:tcPr>
          <w:p>
            <w:pPr>
              <w:jc w:val="left"/>
            </w:pPr>
            <w:r>
              <w:rPr>
                <w:b w:val="false"/>
                <w:bCs w:val="false"/>
                <w:i w:val="false"/>
                <w:iCs w:val="false"/>
                <w:sz w:val="18"/>
                <w:szCs w:val="18"/>
              </w:rPr>
              <w:t xml:space="preserve">Validate individual functions: occupancy-count validation, prediction-model helper functions, allocation rule evaluators.</w:t>
            </w:r>
          </w:p>
        </w:tc>
        <w:tc>
          <w:tcPr>
            <w:tcW w:type="dxa" w:w="2000"/>
            <w:tcMar>
              <w:top w:type="dxa" w:w="80"/>
              <w:left w:type="dxa" w:w="100"/>
              <w:bottom w:type="dxa" w:w="80"/>
              <w:right w:type="dxa" w:w="100"/>
            </w:tcMar>
            <w:vAlign w:val="center"/>
          </w:tcPr>
          <w:p>
            <w:pPr>
              <w:jc w:val="left"/>
            </w:pPr>
            <w:r>
              <w:rPr>
                <w:b w:val="false"/>
                <w:bCs w:val="false"/>
                <w:i w:val="false"/>
                <w:iCs w:val="false"/>
                <w:sz w:val="18"/>
                <w:szCs w:val="18"/>
              </w:rPr>
              <w:t xml:space="preserve">Jest (Node services), PyTest (prediction service)</w:t>
            </w:r>
          </w:p>
        </w:tc>
      </w:tr>
      <w:tr>
        <w:tc>
          <w:tcPr>
            <w:tcW w:type="dxa" w:w="1800"/>
            <w:tcMar>
              <w:top w:type="dxa" w:w="80"/>
              <w:left w:type="dxa" w:w="100"/>
              <w:bottom w:type="dxa" w:w="80"/>
              <w:right w:type="dxa" w:w="100"/>
            </w:tcMar>
            <w:vAlign w:val="center"/>
          </w:tcPr>
          <w:p>
            <w:pPr>
              <w:jc w:val="left"/>
            </w:pPr>
            <w:r>
              <w:rPr>
                <w:b w:val="false"/>
                <w:bCs w:val="false"/>
                <w:i w:val="false"/>
                <w:iCs w:val="false"/>
                <w:sz w:val="18"/>
                <w:szCs w:val="18"/>
              </w:rPr>
              <w:t xml:space="preserve">Integration Tests</w:t>
            </w:r>
          </w:p>
        </w:tc>
        <w:tc>
          <w:tcPr>
            <w:tcW w:type="dxa" w:w="1900"/>
            <w:tcMar>
              <w:top w:type="dxa" w:w="80"/>
              <w:left w:type="dxa" w:w="100"/>
              <w:bottom w:type="dxa" w:w="80"/>
              <w:right w:type="dxa" w:w="100"/>
            </w:tcMar>
            <w:vAlign w:val="center"/>
          </w:tcPr>
          <w:p>
            <w:pPr>
              <w:jc w:val="left"/>
            </w:pPr>
            <w:r>
              <w:rPr>
                <w:b w:val="false"/>
                <w:bCs w:val="false"/>
                <w:i w:val="false"/>
                <w:iCs w:val="false"/>
                <w:sz w:val="18"/>
                <w:szCs w:val="18"/>
              </w:rPr>
              <w:t xml:space="preserve">On merge to develop branch</w:t>
            </w:r>
          </w:p>
        </w:tc>
        <w:tc>
          <w:tcPr>
            <w:tcW w:type="dxa" w:w="3800"/>
            <w:tcMar>
              <w:top w:type="dxa" w:w="80"/>
              <w:left w:type="dxa" w:w="100"/>
              <w:bottom w:type="dxa" w:w="80"/>
              <w:right w:type="dxa" w:w="100"/>
            </w:tcMar>
            <w:vAlign w:val="center"/>
          </w:tcPr>
          <w:p>
            <w:pPr>
              <w:jc w:val="left"/>
            </w:pPr>
            <w:r>
              <w:rPr>
                <w:b w:val="false"/>
                <w:bCs w:val="false"/>
                <w:i w:val="false"/>
                <w:iCs w:val="false"/>
                <w:sz w:val="18"/>
                <w:szCs w:val="18"/>
              </w:rPr>
              <w:t xml:space="preserve">Validate service-to-service communication: sensor ingestion → prediction engine → allocation service.</w:t>
            </w:r>
          </w:p>
        </w:tc>
        <w:tc>
          <w:tcPr>
            <w:tcW w:type="dxa" w:w="2000"/>
            <w:tcMar>
              <w:top w:type="dxa" w:w="80"/>
              <w:left w:type="dxa" w:w="100"/>
              <w:bottom w:type="dxa" w:w="80"/>
              <w:right w:type="dxa" w:w="100"/>
            </w:tcMar>
            <w:vAlign w:val="center"/>
          </w:tcPr>
          <w:p>
            <w:pPr>
              <w:jc w:val="left"/>
            </w:pPr>
            <w:r>
              <w:rPr>
                <w:b w:val="false"/>
                <w:bCs w:val="false"/>
                <w:i w:val="false"/>
                <w:iCs w:val="false"/>
                <w:sz w:val="18"/>
                <w:szCs w:val="18"/>
              </w:rPr>
              <w:t xml:space="preserve">Postman/Newman, Testcontainers</w:t>
            </w:r>
          </w:p>
        </w:tc>
      </w:tr>
      <w:tr>
        <w:tc>
          <w:tcPr>
            <w:tcW w:type="dxa" w:w="1800"/>
            <w:tcMar>
              <w:top w:type="dxa" w:w="80"/>
              <w:left w:type="dxa" w:w="100"/>
              <w:bottom w:type="dxa" w:w="80"/>
              <w:right w:type="dxa" w:w="100"/>
            </w:tcMar>
            <w:vAlign w:val="center"/>
          </w:tcPr>
          <w:p>
            <w:pPr>
              <w:jc w:val="left"/>
            </w:pPr>
            <w:r>
              <w:rPr>
                <w:b w:val="false"/>
                <w:bCs w:val="false"/>
                <w:i w:val="false"/>
                <w:iCs w:val="false"/>
                <w:sz w:val="18"/>
                <w:szCs w:val="18"/>
              </w:rPr>
              <w:t xml:space="preserve">API Contract Tests</w:t>
            </w:r>
          </w:p>
        </w:tc>
        <w:tc>
          <w:tcPr>
            <w:tcW w:type="dxa" w:w="1900"/>
            <w:tcMar>
              <w:top w:type="dxa" w:w="80"/>
              <w:left w:type="dxa" w:w="100"/>
              <w:bottom w:type="dxa" w:w="80"/>
              <w:right w:type="dxa" w:w="100"/>
            </w:tcMar>
            <w:vAlign w:val="center"/>
          </w:tcPr>
          <w:p>
            <w:pPr>
              <w:jc w:val="left"/>
            </w:pPr>
            <w:r>
              <w:rPr>
                <w:b w:val="false"/>
                <w:bCs w:val="false"/>
                <w:i w:val="false"/>
                <w:iCs w:val="false"/>
                <w:sz w:val="18"/>
                <w:szCs w:val="18"/>
              </w:rPr>
              <w:t xml:space="preserve">On merge to develop branch</w:t>
            </w:r>
          </w:p>
        </w:tc>
        <w:tc>
          <w:tcPr>
            <w:tcW w:type="dxa" w:w="3800"/>
            <w:tcMar>
              <w:top w:type="dxa" w:w="80"/>
              <w:left w:type="dxa" w:w="100"/>
              <w:bottom w:type="dxa" w:w="80"/>
              <w:right w:type="dxa" w:w="100"/>
            </w:tcMar>
            <w:vAlign w:val="center"/>
          </w:tcPr>
          <w:p>
            <w:pPr>
              <w:jc w:val="left"/>
            </w:pPr>
            <w:r>
              <w:rPr>
                <w:b w:val="false"/>
                <w:bCs w:val="false"/>
                <w:i w:val="false"/>
                <w:iCs w:val="false"/>
                <w:sz w:val="18"/>
                <w:szCs w:val="18"/>
              </w:rPr>
              <w:t xml:space="preserve">Ensure REST/MQTT message schemas between microservices remain backward compatible.</w:t>
            </w:r>
          </w:p>
        </w:tc>
        <w:tc>
          <w:tcPr>
            <w:tcW w:type="dxa" w:w="2000"/>
            <w:tcMar>
              <w:top w:type="dxa" w:w="80"/>
              <w:left w:type="dxa" w:w="100"/>
              <w:bottom w:type="dxa" w:w="80"/>
              <w:right w:type="dxa" w:w="100"/>
            </w:tcMar>
            <w:vAlign w:val="center"/>
          </w:tcPr>
          <w:p>
            <w:pPr>
              <w:jc w:val="left"/>
            </w:pPr>
            <w:r>
              <w:rPr>
                <w:b w:val="false"/>
                <w:bCs w:val="false"/>
                <w:i w:val="false"/>
                <w:iCs w:val="false"/>
                <w:sz w:val="18"/>
                <w:szCs w:val="18"/>
              </w:rPr>
              <w:t xml:space="preserve">Pact / Newman contract suites</w:t>
            </w:r>
          </w:p>
        </w:tc>
      </w:tr>
      <w:tr>
        <w:tc>
          <w:tcPr>
            <w:tcW w:type="dxa" w:w="1800"/>
            <w:tcMar>
              <w:top w:type="dxa" w:w="80"/>
              <w:left w:type="dxa" w:w="100"/>
              <w:bottom w:type="dxa" w:w="80"/>
              <w:right w:type="dxa" w:w="100"/>
            </w:tcMar>
            <w:vAlign w:val="center"/>
          </w:tcPr>
          <w:p>
            <w:pPr>
              <w:jc w:val="left"/>
            </w:pPr>
            <w:r>
              <w:rPr>
                <w:b w:val="false"/>
                <w:bCs w:val="false"/>
                <w:i w:val="false"/>
                <w:iCs w:val="false"/>
                <w:sz w:val="18"/>
                <w:szCs w:val="18"/>
              </w:rPr>
              <w:t xml:space="preserve">IoT Simulation Tests</w:t>
            </w:r>
          </w:p>
        </w:tc>
        <w:tc>
          <w:tcPr>
            <w:tcW w:type="dxa" w:w="1900"/>
            <w:tcMar>
              <w:top w:type="dxa" w:w="80"/>
              <w:left w:type="dxa" w:w="100"/>
              <w:bottom w:type="dxa" w:w="80"/>
              <w:right w:type="dxa" w:w="100"/>
            </w:tcMar>
            <w:vAlign w:val="center"/>
          </w:tcPr>
          <w:p>
            <w:pPr>
              <w:jc w:val="left"/>
            </w:pPr>
            <w:r>
              <w:rPr>
                <w:b w:val="false"/>
                <w:bCs w:val="false"/>
                <w:i w:val="false"/>
                <w:iCs w:val="false"/>
                <w:sz w:val="18"/>
                <w:szCs w:val="18"/>
              </w:rPr>
              <w:t xml:space="preserve">Before Staging deployment</w:t>
            </w:r>
          </w:p>
        </w:tc>
        <w:tc>
          <w:tcPr>
            <w:tcW w:type="dxa" w:w="3800"/>
            <w:tcMar>
              <w:top w:type="dxa" w:w="80"/>
              <w:left w:type="dxa" w:w="100"/>
              <w:bottom w:type="dxa" w:w="80"/>
              <w:right w:type="dxa" w:w="100"/>
            </w:tcMar>
            <w:vAlign w:val="center"/>
          </w:tcPr>
          <w:p>
            <w:pPr>
              <w:jc w:val="left"/>
            </w:pPr>
            <w:r>
              <w:rPr>
                <w:b w:val="false"/>
                <w:bCs w:val="false"/>
                <w:i w:val="false"/>
                <w:iCs w:val="false"/>
                <w:sz w:val="18"/>
                <w:szCs w:val="18"/>
              </w:rPr>
              <w:t xml:space="preserve">Simulate sensor and HVAC-controller traffic patterns (including offline/faulty sensor scenarios) against the built images.</w:t>
            </w:r>
          </w:p>
        </w:tc>
        <w:tc>
          <w:tcPr>
            <w:tcW w:type="dxa" w:w="2000"/>
            <w:tcMar>
              <w:top w:type="dxa" w:w="80"/>
              <w:left w:type="dxa" w:w="100"/>
              <w:bottom w:type="dxa" w:w="80"/>
              <w:right w:type="dxa" w:w="100"/>
            </w:tcMar>
            <w:vAlign w:val="center"/>
          </w:tcPr>
          <w:p>
            <w:pPr>
              <w:jc w:val="left"/>
            </w:pPr>
            <w:r>
              <w:rPr>
                <w:b w:val="false"/>
                <w:bCs w:val="false"/>
                <w:i w:val="false"/>
                <w:iCs w:val="false"/>
                <w:sz w:val="18"/>
                <w:szCs w:val="18"/>
              </w:rPr>
              <w:t xml:space="preserve">Custom MQTT simulator harness</w:t>
            </w:r>
          </w:p>
        </w:tc>
      </w:tr>
      <w:tr>
        <w:tc>
          <w:tcPr>
            <w:tcW w:type="dxa" w:w="1800"/>
            <w:tcMar>
              <w:top w:type="dxa" w:w="80"/>
              <w:left w:type="dxa" w:w="100"/>
              <w:bottom w:type="dxa" w:w="80"/>
              <w:right w:type="dxa" w:w="100"/>
            </w:tcMar>
            <w:vAlign w:val="center"/>
          </w:tcPr>
          <w:p>
            <w:pPr>
              <w:jc w:val="left"/>
            </w:pPr>
            <w:r>
              <w:rPr>
                <w:b w:val="false"/>
                <w:bCs w:val="false"/>
                <w:i w:val="false"/>
                <w:iCs w:val="false"/>
                <w:sz w:val="18"/>
                <w:szCs w:val="18"/>
              </w:rPr>
              <w:t xml:space="preserve">Security &amp; Dependency Scans</w:t>
            </w:r>
          </w:p>
        </w:tc>
        <w:tc>
          <w:tcPr>
            <w:tcW w:type="dxa" w:w="1900"/>
            <w:tcMar>
              <w:top w:type="dxa" w:w="80"/>
              <w:left w:type="dxa" w:w="100"/>
              <w:bottom w:type="dxa" w:w="80"/>
              <w:right w:type="dxa" w:w="100"/>
            </w:tcMar>
            <w:vAlign w:val="center"/>
          </w:tcPr>
          <w:p>
            <w:pPr>
              <w:jc w:val="left"/>
            </w:pPr>
            <w:r>
              <w:rPr>
                <w:b w:val="false"/>
                <w:bCs w:val="false"/>
                <w:i w:val="false"/>
                <w:iCs w:val="false"/>
                <w:sz w:val="18"/>
                <w:szCs w:val="18"/>
              </w:rPr>
              <w:t xml:space="preserve">On every build</w:t>
            </w:r>
          </w:p>
        </w:tc>
        <w:tc>
          <w:tcPr>
            <w:tcW w:type="dxa" w:w="3800"/>
            <w:tcMar>
              <w:top w:type="dxa" w:w="80"/>
              <w:left w:type="dxa" w:w="100"/>
              <w:bottom w:type="dxa" w:w="80"/>
              <w:right w:type="dxa" w:w="100"/>
            </w:tcMar>
            <w:vAlign w:val="center"/>
          </w:tcPr>
          <w:p>
            <w:pPr>
              <w:jc w:val="left"/>
            </w:pPr>
            <w:r>
              <w:rPr>
                <w:b w:val="false"/>
                <w:bCs w:val="false"/>
                <w:i w:val="false"/>
                <w:iCs w:val="false"/>
                <w:sz w:val="18"/>
                <w:szCs w:val="18"/>
              </w:rPr>
              <w:t xml:space="preserve">Scan container images and dependencies for known vulnerabilities; block build on critical findings.</w:t>
            </w:r>
          </w:p>
        </w:tc>
        <w:tc>
          <w:tcPr>
            <w:tcW w:type="dxa" w:w="2000"/>
            <w:tcMar>
              <w:top w:type="dxa" w:w="80"/>
              <w:left w:type="dxa" w:w="100"/>
              <w:bottom w:type="dxa" w:w="80"/>
              <w:right w:type="dxa" w:w="100"/>
            </w:tcMar>
            <w:vAlign w:val="center"/>
          </w:tcPr>
          <w:p>
            <w:pPr>
              <w:jc w:val="left"/>
            </w:pPr>
            <w:r>
              <w:rPr>
                <w:b w:val="false"/>
                <w:bCs w:val="false"/>
                <w:i w:val="false"/>
                <w:iCs w:val="false"/>
                <w:sz w:val="18"/>
                <w:szCs w:val="18"/>
              </w:rPr>
              <w:t xml:space="preserve">Trivy, Snyk</w:t>
            </w:r>
          </w:p>
        </w:tc>
      </w:tr>
      <w:tr>
        <w:tc>
          <w:tcPr>
            <w:tcW w:type="dxa" w:w="1800"/>
            <w:tcMar>
              <w:top w:type="dxa" w:w="80"/>
              <w:left w:type="dxa" w:w="100"/>
              <w:bottom w:type="dxa" w:w="80"/>
              <w:right w:type="dxa" w:w="100"/>
            </w:tcMar>
            <w:vAlign w:val="center"/>
          </w:tcPr>
          <w:p>
            <w:pPr>
              <w:jc w:val="left"/>
            </w:pPr>
            <w:r>
              <w:rPr>
                <w:b w:val="false"/>
                <w:bCs w:val="false"/>
                <w:i w:val="false"/>
                <w:iCs w:val="false"/>
                <w:sz w:val="18"/>
                <w:szCs w:val="18"/>
              </w:rPr>
              <w:t xml:space="preserve">Code Quality Gate</w:t>
            </w:r>
          </w:p>
        </w:tc>
        <w:tc>
          <w:tcPr>
            <w:tcW w:type="dxa" w:w="1900"/>
            <w:tcMar>
              <w:top w:type="dxa" w:w="80"/>
              <w:left w:type="dxa" w:w="100"/>
              <w:bottom w:type="dxa" w:w="80"/>
              <w:right w:type="dxa" w:w="100"/>
            </w:tcMar>
            <w:vAlign w:val="center"/>
          </w:tcPr>
          <w:p>
            <w:pPr>
              <w:jc w:val="left"/>
            </w:pPr>
            <w:r>
              <w:rPr>
                <w:b w:val="false"/>
                <w:bCs w:val="false"/>
                <w:i w:val="false"/>
                <w:iCs w:val="false"/>
                <w:sz w:val="18"/>
                <w:szCs w:val="18"/>
              </w:rPr>
              <w:t xml:space="preserve">On every PR</w:t>
            </w:r>
          </w:p>
        </w:tc>
        <w:tc>
          <w:tcPr>
            <w:tcW w:type="dxa" w:w="3800"/>
            <w:tcMar>
              <w:top w:type="dxa" w:w="80"/>
              <w:left w:type="dxa" w:w="100"/>
              <w:bottom w:type="dxa" w:w="80"/>
              <w:right w:type="dxa" w:w="100"/>
            </w:tcMar>
            <w:vAlign w:val="center"/>
          </w:tcPr>
          <w:p>
            <w:pPr>
              <w:jc w:val="left"/>
            </w:pPr>
            <w:r>
              <w:rPr>
                <w:b w:val="false"/>
                <w:bCs w:val="false"/>
                <w:i w:val="false"/>
                <w:iCs w:val="false"/>
                <w:sz w:val="18"/>
                <w:szCs w:val="18"/>
              </w:rPr>
              <w:t xml:space="preserve">Enforce maintainability, duplication, and coverage thresholds before merge is allowed.</w:t>
            </w:r>
          </w:p>
        </w:tc>
        <w:tc>
          <w:tcPr>
            <w:tcW w:type="dxa" w:w="2000"/>
            <w:tcMar>
              <w:top w:type="dxa" w:w="80"/>
              <w:left w:type="dxa" w:w="100"/>
              <w:bottom w:type="dxa" w:w="80"/>
              <w:right w:type="dxa" w:w="100"/>
            </w:tcMar>
            <w:vAlign w:val="center"/>
          </w:tcPr>
          <w:p>
            <w:pPr>
              <w:jc w:val="left"/>
            </w:pPr>
            <w:r>
              <w:rPr>
                <w:b w:val="false"/>
                <w:bCs w:val="false"/>
                <w:i w:val="false"/>
                <w:iCs w:val="false"/>
                <w:sz w:val="18"/>
                <w:szCs w:val="18"/>
              </w:rPr>
              <w:t xml:space="preserve">SonarQube Quality Gate</w:t>
            </w:r>
          </w:p>
        </w:tc>
      </w:tr>
      <w:tr>
        <w:tc>
          <w:tcPr>
            <w:tcW w:type="dxa" w:w="1800"/>
            <w:tcMar>
              <w:top w:type="dxa" w:w="80"/>
              <w:left w:type="dxa" w:w="100"/>
              <w:bottom w:type="dxa" w:w="80"/>
              <w:right w:type="dxa" w:w="100"/>
            </w:tcMar>
            <w:vAlign w:val="center"/>
          </w:tcPr>
          <w:p>
            <w:pPr>
              <w:jc w:val="left"/>
            </w:pPr>
            <w:r>
              <w:rPr>
                <w:b w:val="false"/>
                <w:bCs w:val="false"/>
                <w:i w:val="false"/>
                <w:iCs w:val="false"/>
                <w:sz w:val="18"/>
                <w:szCs w:val="18"/>
              </w:rPr>
              <w:t xml:space="preserve">Smoke Tests</w:t>
            </w:r>
          </w:p>
        </w:tc>
        <w:tc>
          <w:tcPr>
            <w:tcW w:type="dxa" w:w="1900"/>
            <w:tcMar>
              <w:top w:type="dxa" w:w="80"/>
              <w:left w:type="dxa" w:w="100"/>
              <w:bottom w:type="dxa" w:w="80"/>
              <w:right w:type="dxa" w:w="100"/>
            </w:tcMar>
            <w:vAlign w:val="center"/>
          </w:tcPr>
          <w:p>
            <w:pPr>
              <w:jc w:val="left"/>
            </w:pPr>
            <w:r>
              <w:rPr>
                <w:b w:val="false"/>
                <w:bCs w:val="false"/>
                <w:i w:val="false"/>
                <w:iCs w:val="false"/>
                <w:sz w:val="18"/>
                <w:szCs w:val="18"/>
              </w:rPr>
              <w:t xml:space="preserve">Immediately after each deployment (Dev/Staging/Prod)</w:t>
            </w:r>
          </w:p>
        </w:tc>
        <w:tc>
          <w:tcPr>
            <w:tcW w:type="dxa" w:w="3800"/>
            <w:tcMar>
              <w:top w:type="dxa" w:w="80"/>
              <w:left w:type="dxa" w:w="100"/>
              <w:bottom w:type="dxa" w:w="80"/>
              <w:right w:type="dxa" w:w="100"/>
            </w:tcMar>
            <w:vAlign w:val="center"/>
          </w:tcPr>
          <w:p>
            <w:pPr>
              <w:jc w:val="left"/>
            </w:pPr>
            <w:r>
              <w:rPr>
                <w:b w:val="false"/>
                <w:bCs w:val="false"/>
                <w:i w:val="false"/>
                <w:iCs w:val="false"/>
                <w:sz w:val="18"/>
                <w:szCs w:val="18"/>
              </w:rPr>
              <w:t xml:space="preserve">Confirm core endpoints (health check, dashboard load, sensor ingestion) respond correctly post-deploy.</w:t>
            </w:r>
          </w:p>
        </w:tc>
        <w:tc>
          <w:tcPr>
            <w:tcW w:type="dxa" w:w="2000"/>
            <w:tcMar>
              <w:top w:type="dxa" w:w="80"/>
              <w:left w:type="dxa" w:w="100"/>
              <w:bottom w:type="dxa" w:w="80"/>
              <w:right w:type="dxa" w:w="100"/>
            </w:tcMar>
            <w:vAlign w:val="center"/>
          </w:tcPr>
          <w:p>
            <w:pPr>
              <w:jc w:val="left"/>
            </w:pPr>
            <w:r>
              <w:rPr>
                <w:b w:val="false"/>
                <w:bCs w:val="false"/>
                <w:i w:val="false"/>
                <w:iCs w:val="false"/>
                <w:sz w:val="18"/>
                <w:szCs w:val="18"/>
              </w:rPr>
              <w:t xml:space="preserve">Automated smoke-test script in pipeline</w:t>
            </w:r>
          </w:p>
        </w:tc>
      </w:tr>
      <w:tr>
        <w:tc>
          <w:tcPr>
            <w:tcW w:type="dxa" w:w="1800"/>
            <w:tcMar>
              <w:top w:type="dxa" w:w="80"/>
              <w:left w:type="dxa" w:w="100"/>
              <w:bottom w:type="dxa" w:w="80"/>
              <w:right w:type="dxa" w:w="100"/>
            </w:tcMar>
            <w:vAlign w:val="center"/>
          </w:tcPr>
          <w:p>
            <w:pPr>
              <w:jc w:val="left"/>
            </w:pPr>
            <w:r>
              <w:rPr>
                <w:b w:val="false"/>
                <w:bCs w:val="false"/>
                <w:i w:val="false"/>
                <w:iCs w:val="false"/>
                <w:sz w:val="18"/>
                <w:szCs w:val="18"/>
              </w:rPr>
              <w:t xml:space="preserve">Regression Tests</w:t>
            </w:r>
          </w:p>
        </w:tc>
        <w:tc>
          <w:tcPr>
            <w:tcW w:type="dxa" w:w="1900"/>
            <w:tcMar>
              <w:top w:type="dxa" w:w="80"/>
              <w:left w:type="dxa" w:w="100"/>
              <w:bottom w:type="dxa" w:w="80"/>
              <w:right w:type="dxa" w:w="100"/>
            </w:tcMar>
            <w:vAlign w:val="center"/>
          </w:tcPr>
          <w:p>
            <w:pPr>
              <w:jc w:val="left"/>
            </w:pPr>
            <w:r>
              <w:rPr>
                <w:b w:val="false"/>
                <w:bCs w:val="false"/>
                <w:i w:val="false"/>
                <w:iCs w:val="false"/>
                <w:sz w:val="18"/>
                <w:szCs w:val="18"/>
              </w:rPr>
              <w:t xml:space="preserve">Before Production promotion</w:t>
            </w:r>
          </w:p>
        </w:tc>
        <w:tc>
          <w:tcPr>
            <w:tcW w:type="dxa" w:w="3800"/>
            <w:tcMar>
              <w:top w:type="dxa" w:w="80"/>
              <w:left w:type="dxa" w:w="100"/>
              <w:bottom w:type="dxa" w:w="80"/>
              <w:right w:type="dxa" w:w="100"/>
            </w:tcMar>
            <w:vAlign w:val="center"/>
          </w:tcPr>
          <w:p>
            <w:pPr>
              <w:jc w:val="left"/>
            </w:pPr>
            <w:r>
              <w:rPr>
                <w:b w:val="false"/>
                <w:bCs w:val="false"/>
                <w:i w:val="false"/>
                <w:iCs w:val="false"/>
                <w:sz w:val="18"/>
                <w:szCs w:val="18"/>
              </w:rPr>
              <w:t xml:space="preserve">Re-run the full automated suite against Staging to catch regressions introduced since the last release.</w:t>
            </w:r>
          </w:p>
        </w:tc>
        <w:tc>
          <w:tcPr>
            <w:tcW w:type="dxa" w:w="2000"/>
            <w:tcMar>
              <w:top w:type="dxa" w:w="80"/>
              <w:left w:type="dxa" w:w="100"/>
              <w:bottom w:type="dxa" w:w="80"/>
              <w:right w:type="dxa" w:w="100"/>
            </w:tcMar>
            <w:vAlign w:val="center"/>
          </w:tcPr>
          <w:p>
            <w:pPr>
              <w:jc w:val="left"/>
            </w:pPr>
            <w:r>
              <w:rPr>
                <w:b w:val="false"/>
                <w:bCs w:val="false"/>
                <w:i w:val="false"/>
                <w:iCs w:val="false"/>
                <w:sz w:val="18"/>
                <w:szCs w:val="18"/>
              </w:rPr>
              <w:t xml:space="preserve">CI regression job (full suite)</w:t>
            </w:r>
          </w:p>
        </w:tc>
      </w:tr>
      <w:tr>
        <w:tc>
          <w:tcPr>
            <w:tcW w:type="dxa" w:w="1800"/>
            <w:tcMar>
              <w:top w:type="dxa" w:w="80"/>
              <w:left w:type="dxa" w:w="100"/>
              <w:bottom w:type="dxa" w:w="80"/>
              <w:right w:type="dxa" w:w="100"/>
            </w:tcMar>
            <w:vAlign w:val="center"/>
          </w:tcPr>
          <w:p>
            <w:pPr>
              <w:jc w:val="left"/>
            </w:pPr>
            <w:r>
              <w:rPr>
                <w:b w:val="false"/>
                <w:bCs w:val="false"/>
                <w:i w:val="false"/>
                <w:iCs w:val="false"/>
                <w:sz w:val="18"/>
                <w:szCs w:val="18"/>
              </w:rPr>
              <w:t xml:space="preserve">Load/Performance Tests</w:t>
            </w:r>
          </w:p>
        </w:tc>
        <w:tc>
          <w:tcPr>
            <w:tcW w:type="dxa" w:w="1900"/>
            <w:tcMar>
              <w:top w:type="dxa" w:w="80"/>
              <w:left w:type="dxa" w:w="100"/>
              <w:bottom w:type="dxa" w:w="80"/>
              <w:right w:type="dxa" w:w="100"/>
            </w:tcMar>
            <w:vAlign w:val="center"/>
          </w:tcPr>
          <w:p>
            <w:pPr>
              <w:jc w:val="left"/>
            </w:pPr>
            <w:r>
              <w:rPr>
                <w:b w:val="false"/>
                <w:bCs w:val="false"/>
                <w:i w:val="false"/>
                <w:iCs w:val="false"/>
                <w:sz w:val="18"/>
                <w:szCs w:val="18"/>
              </w:rPr>
              <w:t xml:space="preserve">Scheduled (nightly) &amp; pre-release</w:t>
            </w:r>
          </w:p>
        </w:tc>
        <w:tc>
          <w:tcPr>
            <w:tcW w:type="dxa" w:w="3800"/>
            <w:tcMar>
              <w:top w:type="dxa" w:w="80"/>
              <w:left w:type="dxa" w:w="100"/>
              <w:bottom w:type="dxa" w:w="80"/>
              <w:right w:type="dxa" w:w="100"/>
            </w:tcMar>
            <w:vAlign w:val="center"/>
          </w:tcPr>
          <w:p>
            <w:pPr>
              <w:jc w:val="left"/>
            </w:pPr>
            <w:r>
              <w:rPr>
                <w:b w:val="false"/>
                <w:bCs w:val="false"/>
                <w:i w:val="false"/>
                <w:iCs w:val="false"/>
                <w:sz w:val="18"/>
                <w:szCs w:val="18"/>
              </w:rPr>
              <w:t xml:space="preserve">Validate NFR-01/NFR-02 (5-second refresh, 10,000 concurrent sensors) under simulated peak load.</w:t>
            </w:r>
          </w:p>
        </w:tc>
        <w:tc>
          <w:tcPr>
            <w:tcW w:type="dxa" w:w="2000"/>
            <w:tcMar>
              <w:top w:type="dxa" w:w="80"/>
              <w:left w:type="dxa" w:w="100"/>
              <w:bottom w:type="dxa" w:w="80"/>
              <w:right w:type="dxa" w:w="100"/>
            </w:tcMar>
            <w:vAlign w:val="center"/>
          </w:tcPr>
          <w:p>
            <w:pPr>
              <w:jc w:val="left"/>
            </w:pPr>
            <w:r>
              <w:rPr>
                <w:b w:val="false"/>
                <w:bCs w:val="false"/>
                <w:i w:val="false"/>
                <w:iCs w:val="false"/>
                <w:sz w:val="18"/>
                <w:szCs w:val="18"/>
              </w:rPr>
              <w:t xml:space="preserve">k6 / Locust</w:t>
            </w:r>
          </w:p>
        </w:tc>
      </w:tr>
    </w:tbl>
    <w:p>
      <w:pPr>
        <w:pStyle w:val="Heading2"/>
        <w:spacing w:after="100" w:before="220"/>
      </w:pPr>
      <w:r>
        <w:rPr>
          <w:b/>
          <w:bCs/>
          <w:color w:val="2E4C7A"/>
          <w:sz w:val="24"/>
          <w:szCs w:val="24"/>
        </w:rPr>
        <w:t xml:space="preserve">5. Deployment Strategy — Environments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2900"/>
        <w:gridCol w:w="2100"/>
      </w:tblGrid>
      <w:tr>
        <w:tc>
          <w:tcPr>
            <w:tcW w:type="dxa" w:w="16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Environment</w:t>
            </w:r>
          </w:p>
        </w:tc>
        <w:tc>
          <w:tcPr>
            <w:tcW w:type="dxa" w:w="29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Promotion Trigger</w:t>
            </w:r>
          </w:p>
        </w:tc>
        <w:tc>
          <w:tcPr>
            <w:tcW w:type="dxa" w:w="29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Configuration</w:t>
            </w:r>
          </w:p>
        </w:tc>
        <w:tc>
          <w:tcPr>
            <w:tcW w:type="dxa" w:w="21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Purpose</w:t>
            </w:r>
          </w:p>
        </w:tc>
      </w:tr>
      <w:tr>
        <w:tc>
          <w:tcPr>
            <w:tcW w:type="dxa" w:w="1600"/>
            <w:tcMar>
              <w:top w:type="dxa" w:w="80"/>
              <w:left w:type="dxa" w:w="100"/>
              <w:bottom w:type="dxa" w:w="80"/>
              <w:right w:type="dxa" w:w="100"/>
            </w:tcMar>
            <w:vAlign w:val="center"/>
          </w:tcPr>
          <w:p>
            <w:pPr>
              <w:jc w:val="left"/>
            </w:pPr>
            <w:r>
              <w:rPr>
                <w:b w:val="false"/>
                <w:bCs w:val="false"/>
                <w:i w:val="false"/>
                <w:iCs w:val="false"/>
                <w:sz w:val="18"/>
                <w:szCs w:val="18"/>
              </w:rPr>
              <w:t xml:space="preserve">Development</w:t>
            </w:r>
          </w:p>
        </w:tc>
        <w:tc>
          <w:tcPr>
            <w:tcW w:type="dxa" w:w="2900"/>
            <w:tcMar>
              <w:top w:type="dxa" w:w="80"/>
              <w:left w:type="dxa" w:w="100"/>
              <w:bottom w:type="dxa" w:w="80"/>
              <w:right w:type="dxa" w:w="100"/>
            </w:tcMar>
            <w:vAlign w:val="center"/>
          </w:tcPr>
          <w:p>
            <w:pPr>
              <w:jc w:val="left"/>
            </w:pPr>
            <w:r>
              <w:rPr>
                <w:b w:val="false"/>
                <w:bCs w:val="false"/>
                <w:i w:val="false"/>
                <w:iCs w:val="false"/>
                <w:sz w:val="18"/>
                <w:szCs w:val="18"/>
              </w:rPr>
              <w:t xml:space="preserve">Auto-deploy on every successful merge to `develop`</w:t>
            </w:r>
          </w:p>
        </w:tc>
        <w:tc>
          <w:tcPr>
            <w:tcW w:type="dxa" w:w="2900"/>
            <w:tcMar>
              <w:top w:type="dxa" w:w="80"/>
              <w:left w:type="dxa" w:w="100"/>
              <w:bottom w:type="dxa" w:w="80"/>
              <w:right w:type="dxa" w:w="100"/>
            </w:tcMar>
            <w:vAlign w:val="center"/>
          </w:tcPr>
          <w:p>
            <w:pPr>
              <w:jc w:val="left"/>
            </w:pPr>
            <w:r>
              <w:rPr>
                <w:b w:val="false"/>
                <w:bCs w:val="false"/>
                <w:i w:val="false"/>
                <w:iCs w:val="false"/>
                <w:sz w:val="18"/>
                <w:szCs w:val="18"/>
              </w:rPr>
              <w:t xml:space="preserve">Single-region, reduced-scale cluster; simulated sensors/bookings only</w:t>
            </w:r>
          </w:p>
        </w:tc>
        <w:tc>
          <w:tcPr>
            <w:tcW w:type="dxa" w:w="2100"/>
            <w:tcMar>
              <w:top w:type="dxa" w:w="80"/>
              <w:left w:type="dxa" w:w="100"/>
              <w:bottom w:type="dxa" w:w="80"/>
              <w:right w:type="dxa" w:w="100"/>
            </w:tcMar>
            <w:vAlign w:val="center"/>
          </w:tcPr>
          <w:p>
            <w:pPr>
              <w:jc w:val="left"/>
            </w:pPr>
            <w:r>
              <w:rPr>
                <w:b w:val="false"/>
                <w:bCs w:val="false"/>
                <w:i w:val="false"/>
                <w:iCs w:val="false"/>
                <w:sz w:val="18"/>
                <w:szCs w:val="18"/>
              </w:rPr>
              <w:t xml:space="preserve">Fast feedback for engineers; no real building data</w:t>
            </w:r>
          </w:p>
        </w:tc>
      </w:tr>
      <w:tr>
        <w:tc>
          <w:tcPr>
            <w:tcW w:type="dxa" w:w="1600"/>
            <w:tcMar>
              <w:top w:type="dxa" w:w="80"/>
              <w:left w:type="dxa" w:w="100"/>
              <w:bottom w:type="dxa" w:w="80"/>
              <w:right w:type="dxa" w:w="100"/>
            </w:tcMar>
            <w:vAlign w:val="center"/>
          </w:tcPr>
          <w:p>
            <w:pPr>
              <w:jc w:val="left"/>
            </w:pPr>
            <w:r>
              <w:rPr>
                <w:b w:val="false"/>
                <w:bCs w:val="false"/>
                <w:i w:val="false"/>
                <w:iCs w:val="false"/>
                <w:sz w:val="18"/>
                <w:szCs w:val="18"/>
              </w:rPr>
              <w:t xml:space="preserve">Staging</w:t>
            </w:r>
          </w:p>
        </w:tc>
        <w:tc>
          <w:tcPr>
            <w:tcW w:type="dxa" w:w="2900"/>
            <w:tcMar>
              <w:top w:type="dxa" w:w="80"/>
              <w:left w:type="dxa" w:w="100"/>
              <w:bottom w:type="dxa" w:w="80"/>
              <w:right w:type="dxa" w:w="100"/>
            </w:tcMar>
            <w:vAlign w:val="center"/>
          </w:tcPr>
          <w:p>
            <w:pPr>
              <w:jc w:val="left"/>
            </w:pPr>
            <w:r>
              <w:rPr>
                <w:b w:val="false"/>
                <w:bCs w:val="false"/>
                <w:i w:val="false"/>
                <w:iCs w:val="false"/>
                <w:sz w:val="18"/>
                <w:szCs w:val="18"/>
              </w:rPr>
              <w:t xml:space="preserve">Auto-deploy after Dev smoke tests pass; requires regression suite pass</w:t>
            </w:r>
          </w:p>
        </w:tc>
        <w:tc>
          <w:tcPr>
            <w:tcW w:type="dxa" w:w="2900"/>
            <w:tcMar>
              <w:top w:type="dxa" w:w="80"/>
              <w:left w:type="dxa" w:w="100"/>
              <w:bottom w:type="dxa" w:w="80"/>
              <w:right w:type="dxa" w:w="100"/>
            </w:tcMar>
            <w:vAlign w:val="center"/>
          </w:tcPr>
          <w:p>
            <w:pPr>
              <w:jc w:val="left"/>
            </w:pPr>
            <w:r>
              <w:rPr>
                <w:b w:val="false"/>
                <w:bCs w:val="false"/>
                <w:i w:val="false"/>
                <w:iCs w:val="false"/>
                <w:sz w:val="18"/>
                <w:szCs w:val="18"/>
              </w:rPr>
              <w:t xml:space="preserve">Mirrors Production topology; connected to sensor/HVAC simulators and a sandbox scheduling-platform account</w:t>
            </w:r>
          </w:p>
        </w:tc>
        <w:tc>
          <w:tcPr>
            <w:tcW w:type="dxa" w:w="2100"/>
            <w:tcMar>
              <w:top w:type="dxa" w:w="80"/>
              <w:left w:type="dxa" w:w="100"/>
              <w:bottom w:type="dxa" w:w="80"/>
              <w:right w:type="dxa" w:w="100"/>
            </w:tcMar>
            <w:vAlign w:val="center"/>
          </w:tcPr>
          <w:p>
            <w:pPr>
              <w:jc w:val="left"/>
            </w:pPr>
            <w:r>
              <w:rPr>
                <w:b w:val="false"/>
                <w:bCs w:val="false"/>
                <w:i w:val="false"/>
                <w:iCs w:val="false"/>
                <w:sz w:val="18"/>
                <w:szCs w:val="18"/>
              </w:rPr>
              <w:t xml:space="preserve">Final verification ground before touching real buildings; used for load testing</w:t>
            </w:r>
          </w:p>
        </w:tc>
      </w:tr>
      <w:tr>
        <w:tc>
          <w:tcPr>
            <w:tcW w:type="dxa" w:w="1600"/>
            <w:tcMar>
              <w:top w:type="dxa" w:w="80"/>
              <w:left w:type="dxa" w:w="100"/>
              <w:bottom w:type="dxa" w:w="80"/>
              <w:right w:type="dxa" w:w="100"/>
            </w:tcMar>
            <w:vAlign w:val="center"/>
          </w:tcPr>
          <w:p>
            <w:pPr>
              <w:jc w:val="left"/>
            </w:pPr>
            <w:r>
              <w:rPr>
                <w:b w:val="false"/>
                <w:bCs w:val="false"/>
                <w:i w:val="false"/>
                <w:iCs w:val="false"/>
                <w:sz w:val="18"/>
                <w:szCs w:val="18"/>
              </w:rPr>
              <w:t xml:space="preserve">Production</w:t>
            </w:r>
          </w:p>
        </w:tc>
        <w:tc>
          <w:tcPr>
            <w:tcW w:type="dxa" w:w="2900"/>
            <w:tcMar>
              <w:top w:type="dxa" w:w="80"/>
              <w:left w:type="dxa" w:w="100"/>
              <w:bottom w:type="dxa" w:w="80"/>
              <w:right w:type="dxa" w:w="100"/>
            </w:tcMar>
            <w:vAlign w:val="center"/>
          </w:tcPr>
          <w:p>
            <w:pPr>
              <w:jc w:val="left"/>
            </w:pPr>
            <w:r>
              <w:rPr>
                <w:b w:val="false"/>
                <w:bCs w:val="false"/>
                <w:i w:val="false"/>
                <w:iCs w:val="false"/>
                <w:sz w:val="18"/>
                <w:szCs w:val="18"/>
              </w:rPr>
              <w:t xml:space="preserve">Manual approval gate + blue-green/canary rollout</w:t>
            </w:r>
          </w:p>
        </w:tc>
        <w:tc>
          <w:tcPr>
            <w:tcW w:type="dxa" w:w="2900"/>
            <w:tcMar>
              <w:top w:type="dxa" w:w="80"/>
              <w:left w:type="dxa" w:w="100"/>
              <w:bottom w:type="dxa" w:w="80"/>
              <w:right w:type="dxa" w:w="100"/>
            </w:tcMar>
            <w:vAlign w:val="center"/>
          </w:tcPr>
          <w:p>
            <w:pPr>
              <w:jc w:val="left"/>
            </w:pPr>
            <w:r>
              <w:rPr>
                <w:b w:val="false"/>
                <w:bCs w:val="false"/>
                <w:i w:val="false"/>
                <w:iCs w:val="false"/>
                <w:sz w:val="18"/>
                <w:szCs w:val="18"/>
              </w:rPr>
              <w:t xml:space="preserve">Multi-region Kubernetes cluster serving real building sensors, access control, and HVAC systems</w:t>
            </w:r>
          </w:p>
        </w:tc>
        <w:tc>
          <w:tcPr>
            <w:tcW w:type="dxa" w:w="2100"/>
            <w:tcMar>
              <w:top w:type="dxa" w:w="80"/>
              <w:left w:type="dxa" w:w="100"/>
              <w:bottom w:type="dxa" w:w="80"/>
              <w:right w:type="dxa" w:w="100"/>
            </w:tcMar>
            <w:vAlign w:val="center"/>
          </w:tcPr>
          <w:p>
            <w:pPr>
              <w:jc w:val="left"/>
            </w:pPr>
            <w:r>
              <w:rPr>
                <w:b w:val="false"/>
                <w:bCs w:val="false"/>
                <w:i w:val="false"/>
                <w:iCs w:val="false"/>
                <w:sz w:val="18"/>
                <w:szCs w:val="18"/>
              </w:rPr>
              <w:t xml:space="preserve">Canary receives 5–10% of building traffic first; promoted to 100% only after health checks pass for a soak period</w:t>
            </w:r>
          </w:p>
        </w:tc>
      </w:tr>
    </w:tbl>
    <w:p>
      <w:pPr>
        <w:pStyle w:val="Heading2"/>
        <w:spacing w:after="100" w:before="220"/>
      </w:pPr>
      <w:r>
        <w:rPr>
          <w:b/>
          <w:bCs/>
          <w:color w:val="2E4C7A"/>
          <w:sz w:val="24"/>
          <w:szCs w:val="24"/>
        </w:rPr>
        <w:t xml:space="preserve">6. Security &amp; Quality Checks</w:t>
      </w:r>
    </w:p>
    <w:p>
      <w:pPr>
        <w:pStyle w:val="ListParagraph"/>
        <w:numPr>
          <w:ilvl w:val="0"/>
          <w:numId w:val="1"/>
        </w:numPr>
        <w:spacing w:after="60"/>
      </w:pPr>
      <w:r>
        <w:rPr>
          <w:sz w:val="20"/>
          <w:szCs w:val="20"/>
        </w:rPr>
        <w:t xml:space="preserve">All inter-service and sensor-to-cloud traffic is encrypted in transit (TLS/MQTT-over-TLS) — verified by an automated config-check step in the pipeline.</w:t>
      </w:r>
    </w:p>
    <w:p>
      <w:pPr>
        <w:pStyle w:val="ListParagraph"/>
        <w:numPr>
          <w:ilvl w:val="0"/>
          <w:numId w:val="1"/>
        </w:numPr>
        <w:spacing w:after="60"/>
      </w:pPr>
      <w:r>
        <w:rPr>
          <w:sz w:val="20"/>
          <w:szCs w:val="20"/>
        </w:rPr>
        <w:t xml:space="preserve">Container images are scanned (Trivy) and dependencies audited (Snyk) on every build; the pipeline fails the build on critical/high CVEs.</w:t>
      </w:r>
    </w:p>
    <w:p>
      <w:pPr>
        <w:pStyle w:val="ListParagraph"/>
        <w:numPr>
          <w:ilvl w:val="0"/>
          <w:numId w:val="1"/>
        </w:numPr>
        <w:spacing w:after="60"/>
      </w:pPr>
      <w:r>
        <w:rPr>
          <w:sz w:val="20"/>
          <w:szCs w:val="20"/>
        </w:rPr>
        <w:t xml:space="preserve">Secrets (scheduling-platform API keys, cloud credentials) are injected at deploy time from a secrets manager — never committed to source control (enforced via a pre-commit/CI secret-scanning step).</w:t>
      </w:r>
    </w:p>
    <w:p>
      <w:pPr>
        <w:pStyle w:val="ListParagraph"/>
        <w:numPr>
          <w:ilvl w:val="0"/>
          <w:numId w:val="1"/>
        </w:numPr>
        <w:spacing w:after="60"/>
      </w:pPr>
      <w:r>
        <w:rPr>
          <w:sz w:val="20"/>
          <w:szCs w:val="20"/>
        </w:rPr>
        <w:t xml:space="preserve">Role-based deployment permissions: only the Release Manager/DevOps role can approve the Production gate (aligned with FR-09 RBAC in the platform itself).</w:t>
      </w:r>
    </w:p>
    <w:p>
      <w:pPr>
        <w:pStyle w:val="ListParagraph"/>
        <w:numPr>
          <w:ilvl w:val="0"/>
          <w:numId w:val="1"/>
        </w:numPr>
        <w:spacing w:after="60"/>
      </w:pPr>
      <w:r>
        <w:rPr>
          <w:sz w:val="20"/>
          <w:szCs w:val="20"/>
        </w:rPr>
        <w:t xml:space="preserve">Occupancy data anonymization checks run as part of the automated test suite to satisfy NFR-06 (data privacy) before every release.</w:t>
      </w:r>
    </w:p>
    <w:p>
      <w:pPr>
        <w:pStyle w:val="Heading2"/>
        <w:spacing w:after="100" w:before="220"/>
      </w:pPr>
      <w:r>
        <w:rPr>
          <w:b/>
          <w:bCs/>
          <w:color w:val="2E4C7A"/>
          <w:sz w:val="24"/>
          <w:szCs w:val="24"/>
        </w:rPr>
        <w:t xml:space="preserve">7. Rollback &amp; Monitoring Strategy</w:t>
      </w:r>
    </w:p>
    <w:p>
      <w:pPr>
        <w:pStyle w:val="ListParagraph"/>
        <w:numPr>
          <w:ilvl w:val="0"/>
          <w:numId w:val="1"/>
        </w:numPr>
        <w:spacing w:after="60"/>
      </w:pPr>
      <w:r>
        <w:rPr>
          <w:sz w:val="20"/>
          <w:szCs w:val="20"/>
        </w:rPr>
        <w:t xml:space="preserve">Kubernetes readiness/liveness probes combined with Prometheus alerting continuously monitor post-deploy health (error rate, latency, HVAC-command failure rate).</w:t>
      </w:r>
    </w:p>
    <w:p>
      <w:pPr>
        <w:pStyle w:val="ListParagraph"/>
        <w:numPr>
          <w:ilvl w:val="0"/>
          <w:numId w:val="1"/>
        </w:numPr>
        <w:spacing w:after="60"/>
      </w:pPr>
      <w:r>
        <w:rPr>
          <w:sz w:val="20"/>
          <w:szCs w:val="20"/>
        </w:rPr>
        <w:t xml:space="preserve">If health checks fail during the canary phase, the pipeline automatically halts traffic shift and reroutes 100% of traffic back to the last stable release (automated rollback — no manual step required).</w:t>
      </w:r>
    </w:p>
    <w:p>
      <w:pPr>
        <w:pStyle w:val="ListParagraph"/>
        <w:numPr>
          <w:ilvl w:val="0"/>
          <w:numId w:val="1"/>
        </w:numPr>
        <w:spacing w:after="60"/>
      </w:pPr>
      <w:r>
        <w:rPr>
          <w:sz w:val="20"/>
          <w:szCs w:val="20"/>
        </w:rPr>
        <w:t xml:space="preserve">Every deployment is tagged and versioned in the container registry, so a rollback is simply re-pointing the Kubernetes deployment to the previous image tag (near-instant recovery).</w:t>
      </w:r>
    </w:p>
    <w:p>
      <w:pPr>
        <w:pStyle w:val="ListParagraph"/>
        <w:numPr>
          <w:ilvl w:val="0"/>
          <w:numId w:val="1"/>
        </w:numPr>
        <w:spacing w:after="60"/>
      </w:pPr>
      <w:r>
        <w:rPr>
          <w:sz w:val="20"/>
          <w:szCs w:val="20"/>
        </w:rPr>
        <w:t xml:space="preserve">All rollback events trigger an immediate Slack/Teams notification and are logged for post-incident review.</w:t>
      </w:r>
    </w:p>
    <w:p>
      <w:pPr>
        <w:pStyle w:val="Heading2"/>
        <w:spacing w:after="100" w:before="220"/>
      </w:pPr>
      <w:r>
        <w:rPr>
          <w:b/>
          <w:bCs/>
          <w:color w:val="2E4C7A"/>
          <w:sz w:val="24"/>
          <w:szCs w:val="24"/>
        </w:rPr>
        <w:t xml:space="preserve">8. Notifications</w:t>
      </w:r>
    </w:p>
    <w:p>
      <w:pPr>
        <w:spacing w:after="100"/>
      </w:pPr>
      <w:r>
        <w:rPr>
          <w:sz w:val="20"/>
          <w:szCs w:val="20"/>
        </w:rPr>
        <w:t xml:space="preserve">Slack and Microsoft Teams webhooks (with email as a fallback channel) notify the engineering and facility-operations teams at every key pipeline event: build failure, test failure, security-scan failure, successful deployment to each environment, approval-gate pending, and any rollback. Each notification links directly to the pipeline run for fast triage.</w:t>
      </w:r>
    </w:p>
    <w:p>
      <w:pPr>
        <w:pStyle w:val="Heading2"/>
        <w:spacing w:after="100" w:before="220"/>
      </w:pPr>
      <w:r>
        <w:rPr>
          <w:b/>
          <w:bCs/>
          <w:color w:val="2E4C7A"/>
          <w:sz w:val="24"/>
          <w:szCs w:val="24"/>
        </w:rPr>
        <w:t xml:space="preserve">9. Summary</w:t>
      </w:r>
    </w:p>
    <w:p>
      <w:pPr>
        <w:spacing w:after="100"/>
      </w:pPr>
      <w:r>
        <w:rPr>
          <w:sz w:val="20"/>
          <w:szCs w:val="20"/>
        </w:rPr>
        <w:t xml:space="preserve">This CI/CD pipeline automates the journey from code commit to production deployment for the Smart Building Occupancy Prediction and Space Utilization Platform. It enforces automated testing (including IoT-sensor simulation), code-quality and security gates, a staged multi-environment rollout with a manual approval checkpoint before Production, and an automatic health-based rollback mechanism — directly supporting the system's reliability (99.9% uptime), security, and data-privacy requirements while enabling frequent, low-risk releases across its many microservices.</w:t>
      </w:r>
    </w:p>
    <w:sectPr>
      <w:pgSz w:w="12240" w:h="15840" w:orient="portrait"/>
      <w:pgMar w:top="900" w:right="600" w:bottom="9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45010ae80ba3377ca82fc1e3377d843235835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2026-08-24T04:04:25.534Z</dcterms:created>
  <dcterms:modified xsi:type="dcterms:W3CDTF">2026-08-24T04:04:25.546Z</dcterms:modified>
</cp:coreProperties>
</file>

<file path=docProps/custom.xml><?xml version="1.0" encoding="utf-8"?>
<Properties xmlns="http://schemas.openxmlformats.org/officeDocument/2006/custom-properties" xmlns:vt="http://schemas.openxmlformats.org/officeDocument/2006/docPropsVTypes"/>
</file>