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color w:val="1F4E79"/>
          <w:sz w:val="28"/>
        </w:rPr>
        <w:t>WEEK 5 TASK</w:t>
      </w:r>
    </w:p>
    <w:p>
      <w:pPr>
        <w:pStyle w:val="Title"/>
        <w:jc w:val="center"/>
      </w:pPr>
      <w:r>
        <w:t>Customer Forecasting and</w:t>
        <w:br/>
        <w:t>Segmentation Analysis</w:t>
      </w:r>
    </w:p>
    <w:p>
      <w:pPr>
        <w:jc w:val="center"/>
      </w:pPr>
      <w:r>
        <w:rPr>
          <w:i/>
          <w:sz w:val="24"/>
        </w:rPr>
        <w:t>A Python-Based Analytical Framework for Retail Customer Management</w:t>
      </w:r>
    </w:p>
    <w:p>
      <w:pPr>
        <w:jc w:val="center"/>
      </w:pPr>
      <w:r>
        <w:br/>
        <w:t>Prepared as a strategy and implementation plan</w:t>
        <w:br/>
        <w:t>Retail Intelligence &amp; Customer Analytics</w:t>
      </w:r>
    </w:p>
    <w:p>
      <w:r>
        <w:br w:type="page"/>
      </w:r>
    </w:p>
    <w:p>
      <w:pPr>
        <w:pStyle w:val="Heading1"/>
      </w:pPr>
      <w:r>
        <w:t>1. Executive Summary</w:t>
      </w:r>
    </w:p>
    <w:p>
      <w:r>
        <w:t>Retailers generate customer data through transactions, product views, loyalty programmes, returns, campaign responses and service interactions. When cleaned and analysed responsibly, these data can support two complementary activities: forecasting what a customer or customer group is likely to do, and segmentation that groups customers with similar value, needs or behaviour. This report proposes a Python-based framework combining descriptive analytics, clustering, supervised prediction and time-series forecasting. The framework can estimate churn risk, purchase frequency, near-term demand from customers, and customer lifetime value (CLV), then translate the outputs into practical actions such as retention offers, replenishment reminders and differentiated loyalty campaigns. Model choice must follow the business question, available data and decision horizon; no single algorithm is best for every retail setting.</w:t>
      </w:r>
    </w:p>
    <w:p>
      <w:pPr>
        <w:pStyle w:val="Heading1"/>
      </w:pPr>
      <w:r>
        <w:t>2. Business Problem and Objectives</w:t>
      </w:r>
    </w:p>
    <w:p>
      <w:r>
        <w:t>The main business problem is that a single marketing strategy rarely works for every customer. Some customers buy frequently, some spend more per order, some are new and still forming habits, and some are becoming inactive. The proposed framework aims to: (1) identify meaningful customer segments; (2) estimate future customer behaviours; (3) evaluate model quality with appropriate offline and business metrics; (4) recommend actions that can be tested; and (5) establish a repeatable data pipeline with monitoring and privacy safeguards.</w:t>
      </w:r>
    </w:p>
    <w:p>
      <w:pPr>
        <w:pStyle w:val="Heading1"/>
      </w:pPr>
      <w:r>
        <w:t>3. Data Analysis Framework</w:t>
      </w:r>
    </w:p>
    <w:p>
      <w:r>
        <w:t>Begin by defining the unit of analysis and prediction target. A customer-level table is suitable for segmentation and churn/CLV modelling, while a customer-week or customer-month table supports frequency forecasting. Join customer profiles with order lines, product categories, campaign exposure, returns and service records using stable pseudonymous customer identifiers. Build all features using only information available at the prediction date to avoid target leakage.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b/>
                <w:sz w:val="18"/>
              </w:rPr>
              <w:t>Data source</w:t>
            </w:r>
          </w:p>
        </w:tc>
        <w:tc>
          <w:tcPr>
            <w:tcW w:type="dxa" w:w="3360"/>
            <w:vAlign w:val="center"/>
            <w:shd w:fill="D9EAF7"/>
          </w:tcPr>
          <w:p>
            <w:pPr>
              <w:spacing w:after="0"/>
            </w:pPr>
            <w:r/>
            <w:r>
              <w:rPr>
                <w:b/>
                <w:sz w:val="18"/>
              </w:rPr>
              <w:t>Example fields</w:t>
            </w:r>
          </w:p>
        </w:tc>
        <w:tc>
          <w:tcPr>
            <w:tcW w:type="dxa" w:w="3360"/>
            <w:vAlign w:val="center"/>
            <w:shd w:fill="D9EAF7"/>
          </w:tcPr>
          <w:p>
            <w:pPr>
              <w:spacing w:after="0"/>
            </w:pPr>
            <w:r/>
            <w:r>
              <w:rPr>
                <w:b/>
                <w:sz w:val="18"/>
              </w:rPr>
              <w:t>Analytical use</w:t>
            </w:r>
          </w:p>
        </w:tc>
      </w:tr>
      <w:tr>
        <w:tc>
          <w:tcPr>
            <w:tcW w:type="dxa" w:w="3360"/>
            <w:vAlign w:val="center"/>
          </w:tcPr>
          <w:p>
            <w:pPr>
              <w:spacing w:after="0"/>
            </w:pPr>
            <w:r/>
            <w:r>
              <w:rPr>
                <w:b w:val="0"/>
                <w:sz w:val="18"/>
              </w:rPr>
              <w:t>Customer profile</w:t>
            </w:r>
          </w:p>
        </w:tc>
        <w:tc>
          <w:tcPr>
            <w:tcW w:type="dxa" w:w="3360"/>
            <w:vAlign w:val="center"/>
          </w:tcPr>
          <w:p>
            <w:pPr>
              <w:spacing w:after="0"/>
            </w:pPr>
            <w:r/>
            <w:r>
              <w:rPr>
                <w:b w:val="0"/>
                <w:sz w:val="18"/>
              </w:rPr>
              <w:t>Customer ID, age band, region, consent/preferences</w:t>
            </w:r>
          </w:p>
        </w:tc>
        <w:tc>
          <w:tcPr>
            <w:tcW w:type="dxa" w:w="3360"/>
            <w:vAlign w:val="center"/>
          </w:tcPr>
          <w:p>
            <w:pPr>
              <w:spacing w:after="0"/>
            </w:pPr>
            <w:r/>
            <w:r>
              <w:rPr>
                <w:b w:val="0"/>
                <w:sz w:val="18"/>
              </w:rPr>
              <w:t>Descriptive profiles; fairness checks</w:t>
            </w:r>
          </w:p>
        </w:tc>
      </w:tr>
      <w:tr>
        <w:tc>
          <w:tcPr>
            <w:tcW w:type="dxa" w:w="3360"/>
            <w:vAlign w:val="center"/>
          </w:tcPr>
          <w:p>
            <w:pPr>
              <w:spacing w:after="0"/>
            </w:pPr>
            <w:r/>
            <w:r>
              <w:rPr>
                <w:b w:val="0"/>
                <w:sz w:val="18"/>
              </w:rPr>
              <w:t>Transactions</w:t>
            </w:r>
          </w:p>
        </w:tc>
        <w:tc>
          <w:tcPr>
            <w:tcW w:type="dxa" w:w="3360"/>
            <w:vAlign w:val="center"/>
          </w:tcPr>
          <w:p>
            <w:pPr>
              <w:spacing w:after="0"/>
            </w:pPr>
            <w:r/>
            <w:r>
              <w:rPr>
                <w:b w:val="0"/>
                <w:sz w:val="18"/>
              </w:rPr>
              <w:t>Order date, net spend, quantity, discount, returns</w:t>
            </w:r>
          </w:p>
        </w:tc>
        <w:tc>
          <w:tcPr>
            <w:tcW w:type="dxa" w:w="3360"/>
            <w:vAlign w:val="center"/>
          </w:tcPr>
          <w:p>
            <w:pPr>
              <w:spacing w:after="0"/>
            </w:pPr>
            <w:r/>
            <w:r>
              <w:rPr>
                <w:b w:val="0"/>
                <w:sz w:val="18"/>
              </w:rPr>
              <w:t>RFM, spend/frequency, CLV</w:t>
            </w:r>
          </w:p>
        </w:tc>
      </w:tr>
      <w:tr>
        <w:tc>
          <w:tcPr>
            <w:tcW w:type="dxa" w:w="3360"/>
            <w:vAlign w:val="center"/>
          </w:tcPr>
          <w:p>
            <w:pPr>
              <w:spacing w:after="0"/>
            </w:pPr>
            <w:r/>
            <w:r>
              <w:rPr>
                <w:b w:val="0"/>
                <w:sz w:val="18"/>
              </w:rPr>
              <w:t>Digital behaviour</w:t>
            </w:r>
          </w:p>
        </w:tc>
        <w:tc>
          <w:tcPr>
            <w:tcW w:type="dxa" w:w="3360"/>
            <w:vAlign w:val="center"/>
          </w:tcPr>
          <w:p>
            <w:pPr>
              <w:spacing w:after="0"/>
            </w:pPr>
            <w:r/>
            <w:r>
              <w:rPr>
                <w:b w:val="0"/>
                <w:sz w:val="18"/>
              </w:rPr>
              <w:t>Visits, searches, cart additions, conversions</w:t>
            </w:r>
          </w:p>
        </w:tc>
        <w:tc>
          <w:tcPr>
            <w:tcW w:type="dxa" w:w="3360"/>
            <w:vAlign w:val="center"/>
          </w:tcPr>
          <w:p>
            <w:pPr>
              <w:spacing w:after="0"/>
            </w:pPr>
            <w:r/>
            <w:r>
              <w:rPr>
                <w:b w:val="0"/>
                <w:sz w:val="18"/>
              </w:rPr>
              <w:t>Engagement and intent signals</w:t>
            </w:r>
          </w:p>
        </w:tc>
      </w:tr>
      <w:tr>
        <w:tc>
          <w:tcPr>
            <w:tcW w:type="dxa" w:w="3360"/>
            <w:vAlign w:val="center"/>
          </w:tcPr>
          <w:p>
            <w:pPr>
              <w:spacing w:after="0"/>
            </w:pPr>
            <w:r/>
            <w:r>
              <w:rPr>
                <w:b w:val="0"/>
                <w:sz w:val="18"/>
              </w:rPr>
              <w:t>Campaign history</w:t>
            </w:r>
          </w:p>
        </w:tc>
        <w:tc>
          <w:tcPr>
            <w:tcW w:type="dxa" w:w="3360"/>
            <w:vAlign w:val="center"/>
          </w:tcPr>
          <w:p>
            <w:pPr>
              <w:spacing w:after="0"/>
            </w:pPr>
            <w:r/>
            <w:r>
              <w:rPr>
                <w:b w:val="0"/>
                <w:sz w:val="18"/>
              </w:rPr>
              <w:t>Message sent, channel, offer, response</w:t>
            </w:r>
          </w:p>
        </w:tc>
        <w:tc>
          <w:tcPr>
            <w:tcW w:type="dxa" w:w="3360"/>
            <w:vAlign w:val="center"/>
          </w:tcPr>
          <w:p>
            <w:pPr>
              <w:spacing w:after="0"/>
            </w:pPr>
            <w:r/>
            <w:r>
              <w:rPr>
                <w:b w:val="0"/>
                <w:sz w:val="18"/>
              </w:rPr>
              <w:t>Response prediction and uplift tests</w:t>
            </w:r>
          </w:p>
        </w:tc>
      </w:tr>
      <w:tr>
        <w:tc>
          <w:tcPr>
            <w:tcW w:type="dxa" w:w="3360"/>
            <w:vAlign w:val="center"/>
          </w:tcPr>
          <w:p>
            <w:pPr>
              <w:spacing w:after="0"/>
            </w:pPr>
            <w:r/>
            <w:r>
              <w:rPr>
                <w:b w:val="0"/>
                <w:sz w:val="18"/>
              </w:rPr>
              <w:t>Service / loyalty</w:t>
            </w:r>
          </w:p>
        </w:tc>
        <w:tc>
          <w:tcPr>
            <w:tcW w:type="dxa" w:w="3360"/>
            <w:vAlign w:val="center"/>
          </w:tcPr>
          <w:p>
            <w:pPr>
              <w:spacing w:after="0"/>
            </w:pPr>
            <w:r/>
            <w:r>
              <w:rPr>
                <w:b w:val="0"/>
                <w:sz w:val="18"/>
              </w:rPr>
              <w:t>Complaints, points, membership tenure</w:t>
            </w:r>
          </w:p>
        </w:tc>
        <w:tc>
          <w:tcPr>
            <w:tcW w:type="dxa" w:w="3360"/>
            <w:vAlign w:val="center"/>
          </w:tcPr>
          <w:p>
            <w:pPr>
              <w:spacing w:after="0"/>
            </w:pPr>
            <w:r/>
            <w:r>
              <w:rPr>
                <w:b w:val="0"/>
                <w:sz w:val="18"/>
              </w:rPr>
              <w:t>Churn indicators and retention context</w:t>
            </w:r>
          </w:p>
        </w:tc>
      </w:tr>
      <w:tr>
        <w:tc>
          <w:tcPr>
            <w:tcW w:type="dxa" w:w="3360"/>
            <w:vAlign w:val="center"/>
          </w:tcPr>
          <w:p>
            <w:pPr>
              <w:spacing w:after="0"/>
            </w:pPr>
            <w:r/>
            <w:r>
              <w:rPr>
                <w:b w:val="0"/>
                <w:sz w:val="18"/>
              </w:rPr>
              <w:t>Product data</w:t>
            </w:r>
          </w:p>
        </w:tc>
        <w:tc>
          <w:tcPr>
            <w:tcW w:type="dxa" w:w="3360"/>
            <w:vAlign w:val="center"/>
          </w:tcPr>
          <w:p>
            <w:pPr>
              <w:spacing w:after="0"/>
            </w:pPr>
            <w:r/>
            <w:r>
              <w:rPr>
                <w:b w:val="0"/>
                <w:sz w:val="18"/>
              </w:rPr>
              <w:t>Category, price, margin, replenishment interval</w:t>
            </w:r>
          </w:p>
        </w:tc>
        <w:tc>
          <w:tcPr>
            <w:tcW w:type="dxa" w:w="3360"/>
            <w:vAlign w:val="center"/>
          </w:tcPr>
          <w:p>
            <w:pPr>
              <w:spacing w:after="0"/>
            </w:pPr>
            <w:r/>
            <w:r>
              <w:rPr>
                <w:b w:val="0"/>
                <w:sz w:val="18"/>
              </w:rPr>
              <w:t>Category affinity and next-purchase features</w:t>
            </w:r>
          </w:p>
        </w:tc>
      </w:tr>
    </w:tbl>
    <w:p/>
    <w:p>
      <w:pPr>
        <w:pStyle w:val="Heading1"/>
      </w:pPr>
      <w:r>
        <w:t>4. Data Preparation and Feature Engineering</w:t>
      </w:r>
    </w:p>
    <w:p>
      <w:pPr>
        <w:pStyle w:val="ListBullet"/>
      </w:pPr>
      <w:r>
        <w:t>Validate schema, date formats, unique identifiers, duplicates and impossible values; reconcile cancelled orders and returns.</w:t>
      </w:r>
    </w:p>
    <w:p>
      <w:pPr>
        <w:pStyle w:val="ListBullet"/>
      </w:pPr>
      <w:r>
        <w:t>Handle missing values explicitly. Use a documented strategy such as an unknown category, median imputation or a missingness flag; do not assume missing means zero.</w:t>
      </w:r>
    </w:p>
    <w:p>
      <w:pPr>
        <w:pStyle w:val="ListBullet"/>
      </w:pPr>
      <w:r>
        <w:t>Aggregate transactions into customer-level features at a defined observation date: recency, frequency, monetary value (RFM), average order value, discount ratio, return rate, category diversity and tenure.</w:t>
      </w:r>
    </w:p>
    <w:p>
      <w:pPr>
        <w:pStyle w:val="ListBullet"/>
      </w:pPr>
      <w:r>
        <w:t>Create behaviour features such as sessions per month, cart abandonment, campaign response rate and time since last interaction, where collection and consent permit.</w:t>
      </w:r>
    </w:p>
    <w:p>
      <w:pPr>
        <w:pStyle w:val="ListBullet"/>
      </w:pPr>
      <w:r>
        <w:t>Scale numeric variables for distance-based clustering, encode categorical variables, and cap or robustly transform extreme monetary values when justified.</w:t>
      </w:r>
    </w:p>
    <w:p>
      <w:pPr>
        <w:pStyle w:val="ListBullet"/>
      </w:pPr>
      <w:r>
        <w:t>Split data chronologically for forecasting and supervised prediction. Fit preprocessing only on training data and preserve a final untouched test period.</w:t>
      </w:r>
    </w:p>
    <w:p>
      <w:pPr>
        <w:pStyle w:val="Heading1"/>
      </w:pPr>
      <w:r>
        <w:t>5. Customer Segmentation Strategy</w:t>
      </w:r>
    </w:p>
    <w:p>
      <w:r>
        <w:t>Segmentation should produce groups that are statistically interpretable and actionable for retail teams. Start with transparent RFM rules as a baseline, then compare clustering methods. Select the approach using cluster stability, separation, business interpretability and whether each segment supports a distinct action.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pPr>
              <w:spacing w:after="0"/>
            </w:pPr>
            <w:r/>
            <w:r>
              <w:rPr>
                <w:b/>
                <w:sz w:val="18"/>
              </w:rPr>
              <w:t>Technique</w:t>
            </w:r>
          </w:p>
        </w:tc>
        <w:tc>
          <w:tcPr>
            <w:tcW w:type="dxa" w:w="2520"/>
            <w:vAlign w:val="center"/>
            <w:shd w:fill="D9EAF7"/>
          </w:tcPr>
          <w:p>
            <w:pPr>
              <w:spacing w:after="0"/>
            </w:pPr>
            <w:r/>
            <w:r>
              <w:rPr>
                <w:b/>
                <w:sz w:val="18"/>
              </w:rPr>
              <w:t>How it works</w:t>
            </w:r>
          </w:p>
        </w:tc>
        <w:tc>
          <w:tcPr>
            <w:tcW w:type="dxa" w:w="2520"/>
            <w:vAlign w:val="center"/>
            <w:shd w:fill="D9EAF7"/>
          </w:tcPr>
          <w:p>
            <w:pPr>
              <w:spacing w:after="0"/>
            </w:pPr>
            <w:r/>
            <w:r>
              <w:rPr>
                <w:b/>
                <w:sz w:val="18"/>
              </w:rPr>
              <w:t>Advantages</w:t>
            </w:r>
          </w:p>
        </w:tc>
        <w:tc>
          <w:tcPr>
            <w:tcW w:type="dxa" w:w="2520"/>
            <w:vAlign w:val="center"/>
            <w:shd w:fill="D9EAF7"/>
          </w:tcPr>
          <w:p>
            <w:pPr>
              <w:spacing w:after="0"/>
            </w:pPr>
            <w:r/>
            <w:r>
              <w:rPr>
                <w:b/>
                <w:sz w:val="18"/>
              </w:rPr>
              <w:t>Limitations / best use</w:t>
            </w:r>
          </w:p>
        </w:tc>
      </w:tr>
      <w:tr>
        <w:tc>
          <w:tcPr>
            <w:tcW w:type="dxa" w:w="2520"/>
            <w:vAlign w:val="center"/>
          </w:tcPr>
          <w:p>
            <w:pPr>
              <w:spacing w:after="0"/>
            </w:pPr>
            <w:r/>
            <w:r>
              <w:rPr>
                <w:b w:val="0"/>
                <w:sz w:val="18"/>
              </w:rPr>
              <w:t>RFM rule-based</w:t>
            </w:r>
          </w:p>
        </w:tc>
        <w:tc>
          <w:tcPr>
            <w:tcW w:type="dxa" w:w="2520"/>
            <w:vAlign w:val="center"/>
          </w:tcPr>
          <w:p>
            <w:pPr>
              <w:spacing w:after="0"/>
            </w:pPr>
            <w:r/>
            <w:r>
              <w:rPr>
                <w:b w:val="0"/>
                <w:sz w:val="18"/>
              </w:rPr>
              <w:t>Scores recency, frequency and monetary value into bands</w:t>
            </w:r>
          </w:p>
        </w:tc>
        <w:tc>
          <w:tcPr>
            <w:tcW w:type="dxa" w:w="2520"/>
            <w:vAlign w:val="center"/>
          </w:tcPr>
          <w:p>
            <w:pPr>
              <w:spacing w:after="0"/>
            </w:pPr>
            <w:r/>
            <w:r>
              <w:rPr>
                <w:b w:val="0"/>
                <w:sz w:val="18"/>
              </w:rPr>
              <w:t>Easy to explain and implement</w:t>
            </w:r>
          </w:p>
        </w:tc>
        <w:tc>
          <w:tcPr>
            <w:tcW w:type="dxa" w:w="2520"/>
            <w:vAlign w:val="center"/>
          </w:tcPr>
          <w:p>
            <w:pPr>
              <w:spacing w:after="0"/>
            </w:pPr>
            <w:r/>
            <w:r>
              <w:rPr>
                <w:b w:val="0"/>
                <w:sz w:val="18"/>
              </w:rPr>
              <w:t>Thresholds can be arbitrary; strong baseline</w:t>
            </w:r>
          </w:p>
        </w:tc>
      </w:tr>
      <w:tr>
        <w:tc>
          <w:tcPr>
            <w:tcW w:type="dxa" w:w="2520"/>
            <w:vAlign w:val="center"/>
          </w:tcPr>
          <w:p>
            <w:pPr>
              <w:spacing w:after="0"/>
            </w:pPr>
            <w:r/>
            <w:r>
              <w:rPr>
                <w:b w:val="0"/>
                <w:sz w:val="18"/>
              </w:rPr>
              <w:t>K-Means</w:t>
            </w:r>
          </w:p>
        </w:tc>
        <w:tc>
          <w:tcPr>
            <w:tcW w:type="dxa" w:w="2520"/>
            <w:vAlign w:val="center"/>
          </w:tcPr>
          <w:p>
            <w:pPr>
              <w:spacing w:after="0"/>
            </w:pPr>
            <w:r/>
            <w:r>
              <w:rPr>
                <w:b w:val="0"/>
                <w:sz w:val="18"/>
              </w:rPr>
              <w:t>Partitions scaled numeric features into K clusters</w:t>
            </w:r>
          </w:p>
        </w:tc>
        <w:tc>
          <w:tcPr>
            <w:tcW w:type="dxa" w:w="2520"/>
            <w:vAlign w:val="center"/>
          </w:tcPr>
          <w:p>
            <w:pPr>
              <w:spacing w:after="0"/>
            </w:pPr>
            <w:r/>
            <w:r>
              <w:rPr>
                <w:b w:val="0"/>
                <w:sz w:val="18"/>
              </w:rPr>
              <w:t>Fast and simple for large datasets</w:t>
            </w:r>
          </w:p>
        </w:tc>
        <w:tc>
          <w:tcPr>
            <w:tcW w:type="dxa" w:w="2520"/>
            <w:vAlign w:val="center"/>
          </w:tcPr>
          <w:p>
            <w:pPr>
              <w:spacing w:after="0"/>
            </w:pPr>
            <w:r/>
            <w:r>
              <w:rPr>
                <w:b w:val="0"/>
                <w:sz w:val="18"/>
              </w:rPr>
              <w:t>Needs K; sensitive to scaling/outliers; spherical clusters</w:t>
            </w:r>
          </w:p>
        </w:tc>
      </w:tr>
      <w:tr>
        <w:tc>
          <w:tcPr>
            <w:tcW w:type="dxa" w:w="2520"/>
            <w:vAlign w:val="center"/>
          </w:tcPr>
          <w:p>
            <w:pPr>
              <w:spacing w:after="0"/>
            </w:pPr>
            <w:r/>
            <w:r>
              <w:rPr>
                <w:b w:val="0"/>
                <w:sz w:val="18"/>
              </w:rPr>
              <w:t>Hierarchical clustering</w:t>
            </w:r>
          </w:p>
        </w:tc>
        <w:tc>
          <w:tcPr>
            <w:tcW w:type="dxa" w:w="2520"/>
            <w:vAlign w:val="center"/>
          </w:tcPr>
          <w:p>
            <w:pPr>
              <w:spacing w:after="0"/>
            </w:pPr>
            <w:r/>
            <w:r>
              <w:rPr>
                <w:b w:val="0"/>
                <w:sz w:val="18"/>
              </w:rPr>
              <w:t>Builds nested groups from a distance matrix</w:t>
            </w:r>
          </w:p>
        </w:tc>
        <w:tc>
          <w:tcPr>
            <w:tcW w:type="dxa" w:w="2520"/>
            <w:vAlign w:val="center"/>
          </w:tcPr>
          <w:p>
            <w:pPr>
              <w:spacing w:after="0"/>
            </w:pPr>
            <w:r/>
            <w:r>
              <w:rPr>
                <w:b w:val="0"/>
                <w:sz w:val="18"/>
              </w:rPr>
              <w:t>Useful for exploring structure</w:t>
            </w:r>
          </w:p>
        </w:tc>
        <w:tc>
          <w:tcPr>
            <w:tcW w:type="dxa" w:w="2520"/>
            <w:vAlign w:val="center"/>
          </w:tcPr>
          <w:p>
            <w:pPr>
              <w:spacing w:after="0"/>
            </w:pPr>
            <w:r/>
            <w:r>
              <w:rPr>
                <w:b w:val="0"/>
                <w:sz w:val="18"/>
              </w:rPr>
              <w:t>Can be costly on large datasets</w:t>
            </w:r>
          </w:p>
        </w:tc>
      </w:tr>
      <w:tr>
        <w:tc>
          <w:tcPr>
            <w:tcW w:type="dxa" w:w="2520"/>
            <w:vAlign w:val="center"/>
          </w:tcPr>
          <w:p>
            <w:pPr>
              <w:spacing w:after="0"/>
            </w:pPr>
            <w:r/>
            <w:r>
              <w:rPr>
                <w:b w:val="0"/>
                <w:sz w:val="18"/>
              </w:rPr>
              <w:t>DBSCAN</w:t>
            </w:r>
          </w:p>
        </w:tc>
        <w:tc>
          <w:tcPr>
            <w:tcW w:type="dxa" w:w="2520"/>
            <w:vAlign w:val="center"/>
          </w:tcPr>
          <w:p>
            <w:pPr>
              <w:spacing w:after="0"/>
            </w:pPr>
            <w:r/>
            <w:r>
              <w:rPr>
                <w:b w:val="0"/>
                <w:sz w:val="18"/>
              </w:rPr>
              <w:t>Groups dense regions and labels sparse points as noise</w:t>
            </w:r>
          </w:p>
        </w:tc>
        <w:tc>
          <w:tcPr>
            <w:tcW w:type="dxa" w:w="2520"/>
            <w:vAlign w:val="center"/>
          </w:tcPr>
          <w:p>
            <w:pPr>
              <w:spacing w:after="0"/>
            </w:pPr>
            <w:r/>
            <w:r>
              <w:rPr>
                <w:b w:val="0"/>
                <w:sz w:val="18"/>
              </w:rPr>
              <w:t>Can find irregular clusters and outliers</w:t>
            </w:r>
          </w:p>
        </w:tc>
        <w:tc>
          <w:tcPr>
            <w:tcW w:type="dxa" w:w="2520"/>
            <w:vAlign w:val="center"/>
          </w:tcPr>
          <w:p>
            <w:pPr>
              <w:spacing w:after="0"/>
            </w:pPr>
            <w:r/>
            <w:r>
              <w:rPr>
                <w:b w:val="0"/>
                <w:sz w:val="18"/>
              </w:rPr>
              <w:t>Sensitive to parameters and varying densities</w:t>
            </w:r>
          </w:p>
        </w:tc>
      </w:tr>
      <w:tr>
        <w:tc>
          <w:tcPr>
            <w:tcW w:type="dxa" w:w="2520"/>
            <w:vAlign w:val="center"/>
          </w:tcPr>
          <w:p>
            <w:pPr>
              <w:spacing w:after="0"/>
            </w:pPr>
            <w:r/>
            <w:r>
              <w:rPr>
                <w:b w:val="0"/>
                <w:sz w:val="18"/>
              </w:rPr>
              <w:t>Gaussian Mixture Model</w:t>
            </w:r>
          </w:p>
        </w:tc>
        <w:tc>
          <w:tcPr>
            <w:tcW w:type="dxa" w:w="2520"/>
            <w:vAlign w:val="center"/>
          </w:tcPr>
          <w:p>
            <w:pPr>
              <w:spacing w:after="0"/>
            </w:pPr>
            <w:r/>
            <w:r>
              <w:rPr>
                <w:b w:val="0"/>
                <w:sz w:val="18"/>
              </w:rPr>
              <w:t>Models data as a mixture of probability distributions</w:t>
            </w:r>
          </w:p>
        </w:tc>
        <w:tc>
          <w:tcPr>
            <w:tcW w:type="dxa" w:w="2520"/>
            <w:vAlign w:val="center"/>
          </w:tcPr>
          <w:p>
            <w:pPr>
              <w:spacing w:after="0"/>
            </w:pPr>
            <w:r/>
            <w:r>
              <w:rPr>
                <w:b w:val="0"/>
                <w:sz w:val="18"/>
              </w:rPr>
              <w:t>Soft membership probabilities</w:t>
            </w:r>
          </w:p>
        </w:tc>
        <w:tc>
          <w:tcPr>
            <w:tcW w:type="dxa" w:w="2520"/>
            <w:vAlign w:val="center"/>
          </w:tcPr>
          <w:p>
            <w:pPr>
              <w:spacing w:after="0"/>
            </w:pPr>
            <w:r/>
            <w:r>
              <w:rPr>
                <w:b w:val="0"/>
                <w:sz w:val="18"/>
              </w:rPr>
              <w:t>Distribution assumptions may not fit data</w:t>
            </w:r>
          </w:p>
        </w:tc>
      </w:tr>
      <w:tr>
        <w:tc>
          <w:tcPr>
            <w:tcW w:type="dxa" w:w="2520"/>
            <w:vAlign w:val="center"/>
          </w:tcPr>
          <w:p>
            <w:pPr>
              <w:spacing w:after="0"/>
            </w:pPr>
            <w:r/>
            <w:r>
              <w:rPr>
                <w:b w:val="0"/>
                <w:sz w:val="18"/>
              </w:rPr>
              <w:t>Supervised classification</w:t>
            </w:r>
          </w:p>
        </w:tc>
        <w:tc>
          <w:tcPr>
            <w:tcW w:type="dxa" w:w="2520"/>
            <w:vAlign w:val="center"/>
          </w:tcPr>
          <w:p>
            <w:pPr>
              <w:spacing w:after="0"/>
            </w:pPr>
            <w:r/>
            <w:r>
              <w:rPr>
                <w:b w:val="0"/>
                <w:sz w:val="18"/>
              </w:rPr>
              <w:t>Predicts a known label such as churn</w:t>
            </w:r>
          </w:p>
        </w:tc>
        <w:tc>
          <w:tcPr>
            <w:tcW w:type="dxa" w:w="2520"/>
            <w:vAlign w:val="center"/>
          </w:tcPr>
          <w:p>
            <w:pPr>
              <w:spacing w:after="0"/>
            </w:pPr>
            <w:r/>
            <w:r>
              <w:rPr>
                <w:b w:val="0"/>
                <w:sz w:val="18"/>
              </w:rPr>
              <w:t>Directly targets an operational outcome</w:t>
            </w:r>
          </w:p>
        </w:tc>
        <w:tc>
          <w:tcPr>
            <w:tcW w:type="dxa" w:w="2520"/>
            <w:vAlign w:val="center"/>
          </w:tcPr>
          <w:p>
            <w:pPr>
              <w:spacing w:after="0"/>
            </w:pPr>
            <w:r/>
            <w:r>
              <w:rPr>
                <w:b w:val="0"/>
                <w:sz w:val="18"/>
              </w:rPr>
              <w:t>Requires reliable historical labels; not segmentation by itself</w:t>
            </w:r>
          </w:p>
        </w:tc>
      </w:tr>
    </w:tbl>
    <w:p/>
    <w:p>
      <w:pPr>
        <w:pStyle w:val="Heading2"/>
      </w:pPr>
      <w:r>
        <w:t>5.1 Suggested Segment Profiles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b/>
                <w:sz w:val="18"/>
              </w:rPr>
              <w:t>Example segment</w:t>
            </w:r>
          </w:p>
        </w:tc>
        <w:tc>
          <w:tcPr>
            <w:tcW w:type="dxa" w:w="3360"/>
            <w:vAlign w:val="center"/>
            <w:shd w:fill="D9EAF7"/>
          </w:tcPr>
          <w:p>
            <w:pPr>
              <w:spacing w:after="0"/>
            </w:pPr>
            <w:r/>
            <w:r>
              <w:rPr>
                <w:b/>
                <w:sz w:val="18"/>
              </w:rPr>
              <w:t>Typical signals</w:t>
            </w:r>
          </w:p>
        </w:tc>
        <w:tc>
          <w:tcPr>
            <w:tcW w:type="dxa" w:w="3360"/>
            <w:vAlign w:val="center"/>
            <w:shd w:fill="D9EAF7"/>
          </w:tcPr>
          <w:p>
            <w:pPr>
              <w:spacing w:after="0"/>
            </w:pPr>
            <w:r/>
            <w:r>
              <w:rPr>
                <w:b/>
                <w:sz w:val="18"/>
              </w:rPr>
              <w:t>Possible action</w:t>
            </w:r>
          </w:p>
        </w:tc>
      </w:tr>
      <w:tr>
        <w:tc>
          <w:tcPr>
            <w:tcW w:type="dxa" w:w="3360"/>
            <w:vAlign w:val="center"/>
          </w:tcPr>
          <w:p>
            <w:pPr>
              <w:spacing w:after="0"/>
            </w:pPr>
            <w:r/>
            <w:r>
              <w:rPr>
                <w:b w:val="0"/>
                <w:sz w:val="18"/>
              </w:rPr>
              <w:t>High-value loyal</w:t>
            </w:r>
          </w:p>
        </w:tc>
        <w:tc>
          <w:tcPr>
            <w:tcW w:type="dxa" w:w="3360"/>
            <w:vAlign w:val="center"/>
          </w:tcPr>
          <w:p>
            <w:pPr>
              <w:spacing w:after="0"/>
            </w:pPr>
            <w:r/>
            <w:r>
              <w:rPr>
                <w:b w:val="0"/>
                <w:sz w:val="18"/>
              </w:rPr>
              <w:t>High spend/frequency; recent purchase</w:t>
            </w:r>
          </w:p>
        </w:tc>
        <w:tc>
          <w:tcPr>
            <w:tcW w:type="dxa" w:w="3360"/>
            <w:vAlign w:val="center"/>
          </w:tcPr>
          <w:p>
            <w:pPr>
              <w:spacing w:after="0"/>
            </w:pPr>
            <w:r/>
            <w:r>
              <w:rPr>
                <w:b w:val="0"/>
                <w:sz w:val="18"/>
              </w:rPr>
              <w:t>VIP benefits, early access, protect margin</w:t>
            </w:r>
          </w:p>
        </w:tc>
      </w:tr>
      <w:tr>
        <w:tc>
          <w:tcPr>
            <w:tcW w:type="dxa" w:w="3360"/>
            <w:vAlign w:val="center"/>
          </w:tcPr>
          <w:p>
            <w:pPr>
              <w:spacing w:after="0"/>
            </w:pPr>
            <w:r/>
            <w:r>
              <w:rPr>
                <w:b w:val="0"/>
                <w:sz w:val="18"/>
              </w:rPr>
              <w:t>Potential loyalist</w:t>
            </w:r>
          </w:p>
        </w:tc>
        <w:tc>
          <w:tcPr>
            <w:tcW w:type="dxa" w:w="3360"/>
            <w:vAlign w:val="center"/>
          </w:tcPr>
          <w:p>
            <w:pPr>
              <w:spacing w:after="0"/>
            </w:pPr>
            <w:r/>
            <w:r>
              <w:rPr>
                <w:b w:val="0"/>
                <w:sz w:val="18"/>
              </w:rPr>
              <w:t>Recent activity; moderate frequency</w:t>
            </w:r>
          </w:p>
        </w:tc>
        <w:tc>
          <w:tcPr>
            <w:tcW w:type="dxa" w:w="3360"/>
            <w:vAlign w:val="center"/>
          </w:tcPr>
          <w:p>
            <w:pPr>
              <w:spacing w:after="0"/>
            </w:pPr>
            <w:r/>
            <w:r>
              <w:rPr>
                <w:b w:val="0"/>
                <w:sz w:val="18"/>
              </w:rPr>
              <w:t>Relevant cross-sell and loyalty milestones</w:t>
            </w:r>
          </w:p>
        </w:tc>
      </w:tr>
      <w:tr>
        <w:tc>
          <w:tcPr>
            <w:tcW w:type="dxa" w:w="3360"/>
            <w:vAlign w:val="center"/>
          </w:tcPr>
          <w:p>
            <w:pPr>
              <w:spacing w:after="0"/>
            </w:pPr>
            <w:r/>
            <w:r>
              <w:rPr>
                <w:b w:val="0"/>
                <w:sz w:val="18"/>
              </w:rPr>
              <w:t>Price-sensitive</w:t>
            </w:r>
          </w:p>
        </w:tc>
        <w:tc>
          <w:tcPr>
            <w:tcW w:type="dxa" w:w="3360"/>
            <w:vAlign w:val="center"/>
          </w:tcPr>
          <w:p>
            <w:pPr>
              <w:spacing w:after="0"/>
            </w:pPr>
            <w:r/>
            <w:r>
              <w:rPr>
                <w:b w:val="0"/>
                <w:sz w:val="18"/>
              </w:rPr>
              <w:t>High discount share; promotion-driven purchases</w:t>
            </w:r>
          </w:p>
        </w:tc>
        <w:tc>
          <w:tcPr>
            <w:tcW w:type="dxa" w:w="3360"/>
            <w:vAlign w:val="center"/>
          </w:tcPr>
          <w:p>
            <w:pPr>
              <w:spacing w:after="0"/>
            </w:pPr>
            <w:r/>
            <w:r>
              <w:rPr>
                <w:b w:val="0"/>
                <w:sz w:val="18"/>
              </w:rPr>
              <w:t>Targeted offers with margin guardrails</w:t>
            </w:r>
          </w:p>
        </w:tc>
      </w:tr>
      <w:tr>
        <w:tc>
          <w:tcPr>
            <w:tcW w:type="dxa" w:w="3360"/>
            <w:vAlign w:val="center"/>
          </w:tcPr>
          <w:p>
            <w:pPr>
              <w:spacing w:after="0"/>
            </w:pPr>
            <w:r/>
            <w:r>
              <w:rPr>
                <w:b w:val="0"/>
                <w:sz w:val="18"/>
              </w:rPr>
              <w:t>At-risk valuable</w:t>
            </w:r>
          </w:p>
        </w:tc>
        <w:tc>
          <w:tcPr>
            <w:tcW w:type="dxa" w:w="3360"/>
            <w:vAlign w:val="center"/>
          </w:tcPr>
          <w:p>
            <w:pPr>
              <w:spacing w:after="0"/>
            </w:pPr>
            <w:r/>
            <w:r>
              <w:rPr>
                <w:b w:val="0"/>
                <w:sz w:val="18"/>
              </w:rPr>
              <w:t>Historically high value; recency rising</w:t>
            </w:r>
          </w:p>
        </w:tc>
        <w:tc>
          <w:tcPr>
            <w:tcW w:type="dxa" w:w="3360"/>
            <w:vAlign w:val="center"/>
          </w:tcPr>
          <w:p>
            <w:pPr>
              <w:spacing w:after="0"/>
            </w:pPr>
            <w:r/>
            <w:r>
              <w:rPr>
                <w:b w:val="0"/>
                <w:sz w:val="18"/>
              </w:rPr>
              <w:t>Test a personalised win-back intervention</w:t>
            </w:r>
          </w:p>
        </w:tc>
      </w:tr>
      <w:tr>
        <w:tc>
          <w:tcPr>
            <w:tcW w:type="dxa" w:w="3360"/>
            <w:vAlign w:val="center"/>
          </w:tcPr>
          <w:p>
            <w:pPr>
              <w:spacing w:after="0"/>
            </w:pPr>
            <w:r/>
            <w:r>
              <w:rPr>
                <w:b w:val="0"/>
                <w:sz w:val="18"/>
              </w:rPr>
              <w:t>New / developing</w:t>
            </w:r>
          </w:p>
        </w:tc>
        <w:tc>
          <w:tcPr>
            <w:tcW w:type="dxa" w:w="3360"/>
            <w:vAlign w:val="center"/>
          </w:tcPr>
          <w:p>
            <w:pPr>
              <w:spacing w:after="0"/>
            </w:pPr>
            <w:r/>
            <w:r>
              <w:rPr>
                <w:b w:val="0"/>
                <w:sz w:val="18"/>
              </w:rPr>
              <w:t>Short tenure; limited purchase history</w:t>
            </w:r>
          </w:p>
        </w:tc>
        <w:tc>
          <w:tcPr>
            <w:tcW w:type="dxa" w:w="3360"/>
            <w:vAlign w:val="center"/>
          </w:tcPr>
          <w:p>
            <w:pPr>
              <w:spacing w:after="0"/>
            </w:pPr>
            <w:r/>
            <w:r>
              <w:rPr>
                <w:b w:val="0"/>
                <w:sz w:val="18"/>
              </w:rPr>
              <w:t>Onboarding, product education, second-order nudge</w:t>
            </w:r>
          </w:p>
        </w:tc>
      </w:tr>
      <w:tr>
        <w:tc>
          <w:tcPr>
            <w:tcW w:type="dxa" w:w="3360"/>
            <w:vAlign w:val="center"/>
          </w:tcPr>
          <w:p>
            <w:pPr>
              <w:spacing w:after="0"/>
            </w:pPr>
            <w:r/>
            <w:r>
              <w:rPr>
                <w:b w:val="0"/>
                <w:sz w:val="18"/>
              </w:rPr>
              <w:t>Low-engagement</w:t>
            </w:r>
          </w:p>
        </w:tc>
        <w:tc>
          <w:tcPr>
            <w:tcW w:type="dxa" w:w="3360"/>
            <w:vAlign w:val="center"/>
          </w:tcPr>
          <w:p>
            <w:pPr>
              <w:spacing w:after="0"/>
            </w:pPr>
            <w:r/>
            <w:r>
              <w:rPr>
                <w:b w:val="0"/>
                <w:sz w:val="18"/>
              </w:rPr>
              <w:t>Low frequency and long inactivity</w:t>
            </w:r>
          </w:p>
        </w:tc>
        <w:tc>
          <w:tcPr>
            <w:tcW w:type="dxa" w:w="3360"/>
            <w:vAlign w:val="center"/>
          </w:tcPr>
          <w:p>
            <w:pPr>
              <w:spacing w:after="0"/>
            </w:pPr>
            <w:r/>
            <w:r>
              <w:rPr>
                <w:b w:val="0"/>
                <w:sz w:val="18"/>
              </w:rPr>
              <w:t>Low-cost reactivation or suppress costly messaging</w:t>
            </w:r>
          </w:p>
        </w:tc>
      </w:tr>
    </w:tbl>
    <w:p/>
    <w:p>
      <w:r>
        <w:t>These are illustrative profiles, not results from a dataset. Validate segment sizes, profitability and stability before operational use. Avoid using sensitive attributes to target or exclude customers.</w:t>
      </w:r>
    </w:p>
    <w:p>
      <w:pPr>
        <w:pStyle w:val="Heading1"/>
      </w:pPr>
      <w:r>
        <w:t>6. Forecasting and Predictive Models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b/>
                <w:sz w:val="18"/>
              </w:rPr>
              <w:t>Business target</w:t>
            </w:r>
          </w:p>
        </w:tc>
        <w:tc>
          <w:tcPr>
            <w:tcW w:type="dxa" w:w="3360"/>
            <w:vAlign w:val="center"/>
            <w:shd w:fill="D9EAF7"/>
          </w:tcPr>
          <w:p>
            <w:pPr>
              <w:spacing w:after="0"/>
            </w:pPr>
            <w:r/>
            <w:r>
              <w:rPr>
                <w:b/>
                <w:sz w:val="18"/>
              </w:rPr>
              <w:t>Candidate models</w:t>
            </w:r>
          </w:p>
        </w:tc>
        <w:tc>
          <w:tcPr>
            <w:tcW w:type="dxa" w:w="3360"/>
            <w:vAlign w:val="center"/>
            <w:shd w:fill="D9EAF7"/>
          </w:tcPr>
          <w:p>
            <w:pPr>
              <w:spacing w:after="0"/>
            </w:pPr>
            <w:r/>
            <w:r>
              <w:rPr>
                <w:b/>
                <w:sz w:val="18"/>
              </w:rPr>
              <w:t>Target definition and evaluation</w:t>
            </w:r>
          </w:p>
        </w:tc>
      </w:tr>
      <w:tr>
        <w:tc>
          <w:tcPr>
            <w:tcW w:type="dxa" w:w="3360"/>
            <w:vAlign w:val="center"/>
          </w:tcPr>
          <w:p>
            <w:pPr>
              <w:spacing w:after="0"/>
            </w:pPr>
            <w:r/>
            <w:r>
              <w:rPr>
                <w:b w:val="0"/>
                <w:sz w:val="18"/>
              </w:rPr>
              <w:t>Customer churn</w:t>
            </w:r>
          </w:p>
        </w:tc>
        <w:tc>
          <w:tcPr>
            <w:tcW w:type="dxa" w:w="3360"/>
            <w:vAlign w:val="center"/>
          </w:tcPr>
          <w:p>
            <w:pPr>
              <w:spacing w:after="0"/>
            </w:pPr>
            <w:r/>
            <w:r>
              <w:rPr>
                <w:b w:val="0"/>
                <w:sz w:val="18"/>
              </w:rPr>
              <w:t>Logistic Regression, Random Forest, Gradient Boosting</w:t>
            </w:r>
          </w:p>
        </w:tc>
        <w:tc>
          <w:tcPr>
            <w:tcW w:type="dxa" w:w="3360"/>
            <w:vAlign w:val="center"/>
          </w:tcPr>
          <w:p>
            <w:pPr>
              <w:spacing w:after="0"/>
            </w:pPr>
            <w:r/>
            <w:r>
              <w:rPr>
                <w:b w:val="0"/>
                <w:sz w:val="18"/>
              </w:rPr>
              <w:t>Define inactivity over a business-relevant horizon; evaluate PR-AUC, recall, precision, calibration and lift</w:t>
            </w:r>
          </w:p>
        </w:tc>
      </w:tr>
      <w:tr>
        <w:tc>
          <w:tcPr>
            <w:tcW w:type="dxa" w:w="3360"/>
            <w:vAlign w:val="center"/>
          </w:tcPr>
          <w:p>
            <w:pPr>
              <w:spacing w:after="0"/>
            </w:pPr>
            <w:r/>
            <w:r>
              <w:rPr>
                <w:b w:val="0"/>
                <w:sz w:val="18"/>
              </w:rPr>
              <w:t>Purchase frequency</w:t>
            </w:r>
          </w:p>
        </w:tc>
        <w:tc>
          <w:tcPr>
            <w:tcW w:type="dxa" w:w="3360"/>
            <w:vAlign w:val="center"/>
          </w:tcPr>
          <w:p>
            <w:pPr>
              <w:spacing w:after="0"/>
            </w:pPr>
            <w:r/>
            <w:r>
              <w:rPr>
                <w:b w:val="0"/>
                <w:sz w:val="18"/>
              </w:rPr>
              <w:t>Poisson / Negative Binomial regression, tree-based regression</w:t>
            </w:r>
          </w:p>
        </w:tc>
        <w:tc>
          <w:tcPr>
            <w:tcW w:type="dxa" w:w="3360"/>
            <w:vAlign w:val="center"/>
          </w:tcPr>
          <w:p>
            <w:pPr>
              <w:spacing w:after="0"/>
            </w:pPr>
            <w:r/>
            <w:r>
              <w:rPr>
                <w:b w:val="0"/>
                <w:sz w:val="18"/>
              </w:rPr>
              <w:t>Orders per customer in next 30/60/90 days; MAE/RMSE and calibration by segment</w:t>
            </w:r>
          </w:p>
        </w:tc>
      </w:tr>
      <w:tr>
        <w:tc>
          <w:tcPr>
            <w:tcW w:type="dxa" w:w="3360"/>
            <w:vAlign w:val="center"/>
          </w:tcPr>
          <w:p>
            <w:pPr>
              <w:spacing w:after="0"/>
            </w:pPr>
            <w:r/>
            <w:r>
              <w:rPr>
                <w:b w:val="0"/>
                <w:sz w:val="18"/>
              </w:rPr>
              <w:t>Spend / CLV</w:t>
            </w:r>
          </w:p>
        </w:tc>
        <w:tc>
          <w:tcPr>
            <w:tcW w:type="dxa" w:w="3360"/>
            <w:vAlign w:val="center"/>
          </w:tcPr>
          <w:p>
            <w:pPr>
              <w:spacing w:after="0"/>
            </w:pPr>
            <w:r/>
            <w:r>
              <w:rPr>
                <w:b w:val="0"/>
                <w:sz w:val="18"/>
              </w:rPr>
              <w:t>Baseline cohort CLV, regression, Gamma-Gamma where assumptions fit, survival models</w:t>
            </w:r>
          </w:p>
        </w:tc>
        <w:tc>
          <w:tcPr>
            <w:tcW w:type="dxa" w:w="3360"/>
            <w:vAlign w:val="center"/>
          </w:tcPr>
          <w:p>
            <w:pPr>
              <w:spacing w:after="0"/>
            </w:pPr>
            <w:r/>
            <w:r>
              <w:rPr>
                <w:b w:val="0"/>
                <w:sz w:val="18"/>
              </w:rPr>
              <w:t>Future net contribution over a stated horizon; MAE/RMSE, ranking and calibration</w:t>
            </w:r>
          </w:p>
        </w:tc>
      </w:tr>
      <w:tr>
        <w:tc>
          <w:tcPr>
            <w:tcW w:type="dxa" w:w="3360"/>
            <w:vAlign w:val="center"/>
          </w:tcPr>
          <w:p>
            <w:pPr>
              <w:spacing w:after="0"/>
            </w:pPr>
            <w:r/>
            <w:r>
              <w:rPr>
                <w:b w:val="0"/>
                <w:sz w:val="18"/>
              </w:rPr>
              <w:t>Next-period customer activity</w:t>
            </w:r>
          </w:p>
        </w:tc>
        <w:tc>
          <w:tcPr>
            <w:tcW w:type="dxa" w:w="3360"/>
            <w:vAlign w:val="center"/>
          </w:tcPr>
          <w:p>
            <w:pPr>
              <w:spacing w:after="0"/>
            </w:pPr>
            <w:r/>
            <w:r>
              <w:rPr>
                <w:b w:val="0"/>
                <w:sz w:val="18"/>
              </w:rPr>
              <w:t>Seasonal naïve baseline, moving average, Exponential Smoothing, ARIMA/SARIMA</w:t>
            </w:r>
          </w:p>
        </w:tc>
        <w:tc>
          <w:tcPr>
            <w:tcW w:type="dxa" w:w="3360"/>
            <w:vAlign w:val="center"/>
          </w:tcPr>
          <w:p>
            <w:pPr>
              <w:spacing w:after="0"/>
            </w:pPr>
            <w:r/>
            <w:r>
              <w:rPr>
                <w:b w:val="0"/>
                <w:sz w:val="18"/>
              </w:rPr>
              <w:t>Weekly/monthly active buyers or orders; MAE, RMSE, WAPE/MASE</w:t>
            </w:r>
          </w:p>
        </w:tc>
      </w:tr>
      <w:tr>
        <w:tc>
          <w:tcPr>
            <w:tcW w:type="dxa" w:w="3360"/>
            <w:vAlign w:val="center"/>
          </w:tcPr>
          <w:p>
            <w:pPr>
              <w:spacing w:after="0"/>
            </w:pPr>
            <w:r/>
            <w:r>
              <w:rPr>
                <w:b w:val="0"/>
                <w:sz w:val="18"/>
              </w:rPr>
              <w:t>Campaign response</w:t>
            </w:r>
          </w:p>
        </w:tc>
        <w:tc>
          <w:tcPr>
            <w:tcW w:type="dxa" w:w="3360"/>
            <w:vAlign w:val="center"/>
          </w:tcPr>
          <w:p>
            <w:pPr>
              <w:spacing w:after="0"/>
            </w:pPr>
            <w:r/>
            <w:r>
              <w:rPr>
                <w:b w:val="0"/>
                <w:sz w:val="18"/>
              </w:rPr>
              <w:t>Logistic Regression, Random Forest, Gradient Boosting</w:t>
            </w:r>
          </w:p>
        </w:tc>
        <w:tc>
          <w:tcPr>
            <w:tcW w:type="dxa" w:w="3360"/>
            <w:vAlign w:val="center"/>
          </w:tcPr>
          <w:p>
            <w:pPr>
              <w:spacing w:after="0"/>
            </w:pPr>
            <w:r/>
            <w:r>
              <w:rPr>
                <w:b w:val="0"/>
                <w:sz w:val="18"/>
              </w:rPr>
              <w:t>Response within a fixed window; PR-AUC, calibration, lift; consider uplift modelling for causal impact</w:t>
            </w:r>
          </w:p>
        </w:tc>
      </w:tr>
    </w:tbl>
    <w:p/>
    <w:p>
      <w:r>
        <w:t>Use a simple baseline before complex models. Time-series methods suit aggregate weekly/monthly measures; customer-level supervised models suit individual outcomes. Forecast horizons must match the decision: for example, a 30-day churn risk score may support a retention campaign, while a 12-month CLV estimate may support loyalty investment. For rare churn events, accuracy alone is misleading because a model can predict 'no churn' for almost everyone and still appear accurate.</w:t>
      </w:r>
    </w:p>
    <w:p>
      <w:pPr>
        <w:pStyle w:val="Heading1"/>
      </w:pPr>
      <w:r>
        <w:t>7. Python Implementation Plan</w:t>
      </w:r>
    </w:p>
    <w:p>
      <w:r>
        <w:t>Recommended tools include pandas and NumPy for data preparation, scikit-learn for pipelines, clustering and classification, statsmodels for interpretable time-series models, and matplotlib for diagnostic plots. Additional libraries should be selected only if their assumptions and operational costs are justified.</w:t>
      </w:r>
    </w:p>
    <w:p>
      <w:pPr>
        <w:pStyle w:val="Heading2"/>
      </w:pPr>
      <w:r>
        <w:t>7.1 Step-by-step workflow</w:t>
      </w:r>
    </w:p>
    <w:p>
      <w:pPr>
        <w:pStyle w:val="ListNumber"/>
      </w:pPr>
      <w:r>
        <w:t>Load transactions, customer profile and campaign tables with pandas; validate row counts, keys and date coverage.</w:t>
      </w:r>
    </w:p>
    <w:p>
      <w:pPr>
        <w:pStyle w:val="ListNumber"/>
      </w:pPr>
      <w:r>
        <w:t>Create a reproducible snapshot date and aggregate customer-level features using only past data.</w:t>
      </w:r>
    </w:p>
    <w:p>
      <w:pPr>
        <w:pStyle w:val="ListNumber"/>
      </w:pPr>
      <w:r>
        <w:t>Build a preprocessing pipeline with imputation, encoding and scaling as appropriate.</w:t>
      </w:r>
    </w:p>
    <w:p>
      <w:pPr>
        <w:pStyle w:val="ListNumber"/>
      </w:pPr>
      <w:r>
        <w:t>Establish RFM segments and a simple forecasting baseline.</w:t>
      </w:r>
    </w:p>
    <w:p>
      <w:pPr>
        <w:pStyle w:val="ListNumber"/>
      </w:pPr>
      <w:r>
        <w:t>Compare K-Means and at least one alternative segmentation method; inspect silhouette score where applicable, cluster sizes, stability and business meaning.</w:t>
      </w:r>
    </w:p>
    <w:p>
      <w:pPr>
        <w:pStyle w:val="ListNumber"/>
      </w:pPr>
      <w:r>
        <w:t>Train churn/frequency/CLV models using chronological train-validation-test splits and a scikit-learn Pipeline.</w:t>
      </w:r>
    </w:p>
    <w:p>
      <w:pPr>
        <w:pStyle w:val="ListNumber"/>
      </w:pPr>
      <w:r>
        <w:t>Tune only on training/validation periods; compare against baselines and report final metrics on the untouched test period.</w:t>
      </w:r>
    </w:p>
    <w:p>
      <w:pPr>
        <w:pStyle w:val="ListNumber"/>
      </w:pPr>
      <w:r>
        <w:t>Export segment labels and calibrated prediction scores to a governed analytics table for campaign or dashboard use.</w:t>
      </w:r>
    </w:p>
    <w:p>
      <w:pPr>
        <w:pStyle w:val="ListNumber"/>
      </w:pPr>
      <w:r>
        <w:t>Run a controlled campaign experiment before claiming that model-driven targeting caused an improvement.</w:t>
      </w:r>
    </w:p>
    <w:p>
      <w:pPr>
        <w:pStyle w:val="Heading2"/>
      </w:pPr>
      <w:r>
        <w:t>7.2 Illustrative Python pseudocode</w:t>
      </w:r>
    </w:p>
    <w:p>
      <w:r>
        <w:rPr>
          <w:rFonts w:ascii="Consolas" w:hAnsi="Consolas"/>
          <w:sz w:val="16"/>
        </w:rPr>
        <w:t># Illustrative template; adapt column names and targets to the actual dataset</w:t>
        <w:br/>
        <w:t>import pandas as pd</w:t>
        <w:br/>
        <w:t>from sklearn.preprocessing import StandardScaler</w:t>
        <w:br/>
        <w:t>from sklearn.cluster import KMeans</w:t>
        <w:br/>
        <w:t>from sklearn.pipeline import Pipeline</w:t>
        <w:br/>
        <w:t>from sklearn.impute import SimpleImputer</w:t>
        <w:br/>
        <w:br/>
        <w:t>tx = pd.read_csv("transactions.csv", parse_dates=["order_date"])</w:t>
        <w:br/>
        <w:t>snapshot = pd.Timestamp("2026-01-01")  # example only; choose a valid data cutoff</w:t>
        <w:br/>
        <w:t>valid = tx[(tx["order_date"] &lt; snapshot) &amp; (tx["status"] == "completed")].copy()</w:t>
        <w:br/>
        <w:br/>
        <w:t>rfm = valid.groupby("customer_id").agg(</w:t>
        <w:br/>
        <w:t xml:space="preserve">    recency_days=("order_date", lambda s: (snapshot - s.max()).days),</w:t>
        <w:br/>
        <w:t xml:space="preserve">    frequency=("order_id", "nunique"),</w:t>
        <w:br/>
        <w:t xml:space="preserve">    monetary=("net_amount", "sum")</w:t>
        <w:br/>
        <w:t>).reset_index()</w:t>
        <w:br/>
        <w:br/>
        <w:t>features = ["recency_days", "frequency", "monetary"]</w:t>
        <w:br/>
        <w:t>segmenter = Pipeline([</w:t>
        <w:br/>
        <w:t xml:space="preserve">    ("imputer", SimpleImputer(strategy="median")),</w:t>
        <w:br/>
        <w:t xml:space="preserve">    ("scale", StandardScaler()),</w:t>
        <w:br/>
        <w:t xml:space="preserve">    ("cluster", KMeans(n_clusters=5, random_state=42, n_init="auto"))</w:t>
        <w:br/>
        <w:t>])</w:t>
        <w:br/>
        <w:t>rfm["segment_id"] = segmenter.fit_predict(rfm[features])</w:t>
        <w:br/>
        <w:t># Validate clusters and compare with a simple RFM baseline before use.</w:t>
      </w:r>
    </w:p>
    <w:p>
      <w:pPr>
        <w:pStyle w:val="Heading1"/>
      </w:pPr>
      <w:r>
        <w:t>8. Conceptual System Design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b/>
                <w:sz w:val="18"/>
              </w:rPr>
              <w:t>Stage</w:t>
            </w:r>
          </w:p>
        </w:tc>
        <w:tc>
          <w:tcPr>
            <w:tcW w:type="dxa" w:w="3360"/>
            <w:vAlign w:val="center"/>
            <w:shd w:fill="D9EAF7"/>
          </w:tcPr>
          <w:p>
            <w:pPr>
              <w:spacing w:after="0"/>
            </w:pPr>
            <w:r/>
            <w:r>
              <w:rPr>
                <w:b/>
                <w:sz w:val="18"/>
              </w:rPr>
              <w:t>Input / operation</w:t>
            </w:r>
          </w:p>
        </w:tc>
        <w:tc>
          <w:tcPr>
            <w:tcW w:type="dxa" w:w="3360"/>
            <w:vAlign w:val="center"/>
            <w:shd w:fill="D9EAF7"/>
          </w:tcPr>
          <w:p>
            <w:pPr>
              <w:spacing w:after="0"/>
            </w:pPr>
            <w:r/>
            <w:r>
              <w:rPr>
                <w:b/>
                <w:sz w:val="18"/>
              </w:rPr>
              <w:t>Output</w:t>
            </w:r>
          </w:p>
        </w:tc>
      </w:tr>
      <w:tr>
        <w:tc>
          <w:tcPr>
            <w:tcW w:type="dxa" w:w="3360"/>
            <w:vAlign w:val="center"/>
          </w:tcPr>
          <w:p>
            <w:pPr>
              <w:spacing w:after="0"/>
            </w:pPr>
            <w:r/>
            <w:r>
              <w:rPr>
                <w:b w:val="0"/>
                <w:sz w:val="18"/>
              </w:rPr>
              <w:t>1. Data ingestion</w:t>
            </w:r>
          </w:p>
        </w:tc>
        <w:tc>
          <w:tcPr>
            <w:tcW w:type="dxa" w:w="3360"/>
            <w:vAlign w:val="center"/>
          </w:tcPr>
          <w:p>
            <w:pPr>
              <w:spacing w:after="0"/>
            </w:pPr>
            <w:r/>
            <w:r>
              <w:rPr>
                <w:b w:val="0"/>
                <w:sz w:val="18"/>
              </w:rPr>
              <w:t>Transactions, profiles, behaviour and campaigns</w:t>
            </w:r>
          </w:p>
        </w:tc>
        <w:tc>
          <w:tcPr>
            <w:tcW w:type="dxa" w:w="3360"/>
            <w:vAlign w:val="center"/>
          </w:tcPr>
          <w:p>
            <w:pPr>
              <w:spacing w:after="0"/>
            </w:pPr>
            <w:r/>
            <w:r>
              <w:rPr>
                <w:b w:val="0"/>
                <w:sz w:val="18"/>
              </w:rPr>
              <w:t>Validated raw tables</w:t>
            </w:r>
          </w:p>
        </w:tc>
      </w:tr>
      <w:tr>
        <w:tc>
          <w:tcPr>
            <w:tcW w:type="dxa" w:w="3360"/>
            <w:vAlign w:val="center"/>
          </w:tcPr>
          <w:p>
            <w:pPr>
              <w:spacing w:after="0"/>
            </w:pPr>
            <w:r/>
            <w:r>
              <w:rPr>
                <w:b w:val="0"/>
                <w:sz w:val="18"/>
              </w:rPr>
              <w:t>2. Feature layer</w:t>
            </w:r>
          </w:p>
        </w:tc>
        <w:tc>
          <w:tcPr>
            <w:tcW w:type="dxa" w:w="3360"/>
            <w:vAlign w:val="center"/>
          </w:tcPr>
          <w:p>
            <w:pPr>
              <w:spacing w:after="0"/>
            </w:pPr>
            <w:r/>
            <w:r>
              <w:rPr>
                <w:b w:val="0"/>
                <w:sz w:val="18"/>
              </w:rPr>
              <w:t>RFM, engagement, tenure, time-window features</w:t>
            </w:r>
          </w:p>
        </w:tc>
        <w:tc>
          <w:tcPr>
            <w:tcW w:type="dxa" w:w="3360"/>
            <w:vAlign w:val="center"/>
          </w:tcPr>
          <w:p>
            <w:pPr>
              <w:spacing w:after="0"/>
            </w:pPr>
            <w:r/>
            <w:r>
              <w:rPr>
                <w:b w:val="0"/>
                <w:sz w:val="18"/>
              </w:rPr>
              <w:t>Customer feature snapshot</w:t>
            </w:r>
          </w:p>
        </w:tc>
      </w:tr>
      <w:tr>
        <w:tc>
          <w:tcPr>
            <w:tcW w:type="dxa" w:w="3360"/>
            <w:vAlign w:val="center"/>
          </w:tcPr>
          <w:p>
            <w:pPr>
              <w:spacing w:after="0"/>
            </w:pPr>
            <w:r/>
            <w:r>
              <w:rPr>
                <w:b w:val="0"/>
                <w:sz w:val="18"/>
              </w:rPr>
              <w:t>3. Analytics</w:t>
            </w:r>
          </w:p>
        </w:tc>
        <w:tc>
          <w:tcPr>
            <w:tcW w:type="dxa" w:w="3360"/>
            <w:vAlign w:val="center"/>
          </w:tcPr>
          <w:p>
            <w:pPr>
              <w:spacing w:after="0"/>
            </w:pPr>
            <w:r/>
            <w:r>
              <w:rPr>
                <w:b w:val="0"/>
                <w:sz w:val="18"/>
              </w:rPr>
              <w:t>Clustering + churn/frequency/CLV forecasting</w:t>
            </w:r>
          </w:p>
        </w:tc>
        <w:tc>
          <w:tcPr>
            <w:tcW w:type="dxa" w:w="3360"/>
            <w:vAlign w:val="center"/>
          </w:tcPr>
          <w:p>
            <w:pPr>
              <w:spacing w:after="0"/>
            </w:pPr>
            <w:r/>
            <w:r>
              <w:rPr>
                <w:b w:val="0"/>
                <w:sz w:val="18"/>
              </w:rPr>
              <w:t>Segment labels and prediction scores</w:t>
            </w:r>
          </w:p>
        </w:tc>
      </w:tr>
      <w:tr>
        <w:tc>
          <w:tcPr>
            <w:tcW w:type="dxa" w:w="3360"/>
            <w:vAlign w:val="center"/>
          </w:tcPr>
          <w:p>
            <w:pPr>
              <w:spacing w:after="0"/>
            </w:pPr>
            <w:r/>
            <w:r>
              <w:rPr>
                <w:b w:val="0"/>
                <w:sz w:val="18"/>
              </w:rPr>
              <w:t>4. Decision layer</w:t>
            </w:r>
          </w:p>
        </w:tc>
        <w:tc>
          <w:tcPr>
            <w:tcW w:type="dxa" w:w="3360"/>
            <w:vAlign w:val="center"/>
          </w:tcPr>
          <w:p>
            <w:pPr>
              <w:spacing w:after="0"/>
            </w:pPr>
            <w:r/>
            <w:r>
              <w:rPr>
                <w:b w:val="0"/>
                <w:sz w:val="18"/>
              </w:rPr>
              <w:t>Business rules, budget, consent and contact policy</w:t>
            </w:r>
          </w:p>
        </w:tc>
        <w:tc>
          <w:tcPr>
            <w:tcW w:type="dxa" w:w="3360"/>
            <w:vAlign w:val="center"/>
          </w:tcPr>
          <w:p>
            <w:pPr>
              <w:spacing w:after="0"/>
            </w:pPr>
            <w:r/>
            <w:r>
              <w:rPr>
                <w:b w:val="0"/>
                <w:sz w:val="18"/>
              </w:rPr>
              <w:t>Eligible customer/action list</w:t>
            </w:r>
          </w:p>
        </w:tc>
      </w:tr>
      <w:tr>
        <w:tc>
          <w:tcPr>
            <w:tcW w:type="dxa" w:w="3360"/>
            <w:vAlign w:val="center"/>
          </w:tcPr>
          <w:p>
            <w:pPr>
              <w:spacing w:after="0"/>
            </w:pPr>
            <w:r/>
            <w:r>
              <w:rPr>
                <w:b w:val="0"/>
                <w:sz w:val="18"/>
              </w:rPr>
              <w:t>5. Activation</w:t>
            </w:r>
          </w:p>
        </w:tc>
        <w:tc>
          <w:tcPr>
            <w:tcW w:type="dxa" w:w="3360"/>
            <w:vAlign w:val="center"/>
          </w:tcPr>
          <w:p>
            <w:pPr>
              <w:spacing w:after="0"/>
            </w:pPr>
            <w:r/>
            <w:r>
              <w:rPr>
                <w:b w:val="0"/>
                <w:sz w:val="18"/>
              </w:rPr>
              <w:t>CRM, loyalty platform, dashboard or campaign tool</w:t>
            </w:r>
          </w:p>
        </w:tc>
        <w:tc>
          <w:tcPr>
            <w:tcW w:type="dxa" w:w="3360"/>
            <w:vAlign w:val="center"/>
          </w:tcPr>
          <w:p>
            <w:pPr>
              <w:spacing w:after="0"/>
            </w:pPr>
            <w:r/>
            <w:r>
              <w:rPr>
                <w:b w:val="0"/>
                <w:sz w:val="18"/>
              </w:rPr>
              <w:t>Targeted actions</w:t>
            </w:r>
          </w:p>
        </w:tc>
      </w:tr>
      <w:tr>
        <w:tc>
          <w:tcPr>
            <w:tcW w:type="dxa" w:w="3360"/>
            <w:vAlign w:val="center"/>
          </w:tcPr>
          <w:p>
            <w:pPr>
              <w:spacing w:after="0"/>
            </w:pPr>
            <w:r/>
            <w:r>
              <w:rPr>
                <w:b w:val="0"/>
                <w:sz w:val="18"/>
              </w:rPr>
              <w:t>6. Feedback loop</w:t>
            </w:r>
          </w:p>
        </w:tc>
        <w:tc>
          <w:tcPr>
            <w:tcW w:type="dxa" w:w="3360"/>
            <w:vAlign w:val="center"/>
          </w:tcPr>
          <w:p>
            <w:pPr>
              <w:spacing w:after="0"/>
            </w:pPr>
            <w:r/>
            <w:r>
              <w:rPr>
                <w:b w:val="0"/>
                <w:sz w:val="18"/>
              </w:rPr>
              <w:t>Outcomes, experiments, drift and complaints</w:t>
            </w:r>
          </w:p>
        </w:tc>
        <w:tc>
          <w:tcPr>
            <w:tcW w:type="dxa" w:w="3360"/>
            <w:vAlign w:val="center"/>
          </w:tcPr>
          <w:p>
            <w:pPr>
              <w:spacing w:after="0"/>
            </w:pPr>
            <w:r/>
            <w:r>
              <w:rPr>
                <w:b w:val="0"/>
                <w:sz w:val="18"/>
              </w:rPr>
              <w:t>Retraining and strategy updates</w:t>
            </w:r>
          </w:p>
        </w:tc>
      </w:tr>
    </w:tbl>
    <w:p/>
    <w:p>
      <w:r>
        <w:t>Conceptual flow: Customer and transaction data → data quality checks → time-safe feature engineering → segmentation + forecasting models → evaluation and approval → business rules → campaign / operations → outcome measurement and monitoring.</w:t>
      </w:r>
    </w:p>
    <w:p>
      <w:pPr>
        <w:pStyle w:val="Heading1"/>
      </w:pPr>
      <w:r>
        <w:t>9. Evaluation Criteria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b/>
                <w:sz w:val="18"/>
              </w:rPr>
              <w:t>Evaluation area</w:t>
            </w:r>
          </w:p>
        </w:tc>
        <w:tc>
          <w:tcPr>
            <w:tcW w:type="dxa" w:w="3360"/>
            <w:vAlign w:val="center"/>
            <w:shd w:fill="D9EAF7"/>
          </w:tcPr>
          <w:p>
            <w:pPr>
              <w:spacing w:after="0"/>
            </w:pPr>
            <w:r/>
            <w:r>
              <w:rPr>
                <w:b/>
                <w:sz w:val="18"/>
              </w:rPr>
              <w:t>Measures / checks</w:t>
            </w:r>
          </w:p>
        </w:tc>
        <w:tc>
          <w:tcPr>
            <w:tcW w:type="dxa" w:w="3360"/>
            <w:vAlign w:val="center"/>
            <w:shd w:fill="D9EAF7"/>
          </w:tcPr>
          <w:p>
            <w:pPr>
              <w:spacing w:after="0"/>
            </w:pPr>
            <w:r/>
            <w:r>
              <w:rPr>
                <w:b/>
                <w:sz w:val="18"/>
              </w:rPr>
              <w:t>Why it matters</w:t>
            </w:r>
          </w:p>
        </w:tc>
      </w:tr>
      <w:tr>
        <w:tc>
          <w:tcPr>
            <w:tcW w:type="dxa" w:w="3360"/>
            <w:vAlign w:val="center"/>
          </w:tcPr>
          <w:p>
            <w:pPr>
              <w:spacing w:after="0"/>
            </w:pPr>
            <w:r/>
            <w:r>
              <w:rPr>
                <w:b w:val="0"/>
                <w:sz w:val="18"/>
              </w:rPr>
              <w:t>Segmentation quality</w:t>
            </w:r>
          </w:p>
        </w:tc>
        <w:tc>
          <w:tcPr>
            <w:tcW w:type="dxa" w:w="3360"/>
            <w:vAlign w:val="center"/>
          </w:tcPr>
          <w:p>
            <w:pPr>
              <w:spacing w:after="0"/>
            </w:pPr>
            <w:r/>
            <w:r>
              <w:rPr>
                <w:b w:val="0"/>
                <w:sz w:val="18"/>
              </w:rPr>
              <w:t>Silhouette score where appropriate, cluster sizes, stability, interpretability</w:t>
            </w:r>
          </w:p>
        </w:tc>
        <w:tc>
          <w:tcPr>
            <w:tcW w:type="dxa" w:w="3360"/>
            <w:vAlign w:val="center"/>
          </w:tcPr>
          <w:p>
            <w:pPr>
              <w:spacing w:after="0"/>
            </w:pPr>
            <w:r/>
            <w:r>
              <w:rPr>
                <w:b w:val="0"/>
                <w:sz w:val="18"/>
              </w:rPr>
              <w:t>Checks whether groups are coherent and usable</w:t>
            </w:r>
          </w:p>
        </w:tc>
      </w:tr>
      <w:tr>
        <w:tc>
          <w:tcPr>
            <w:tcW w:type="dxa" w:w="3360"/>
            <w:vAlign w:val="center"/>
          </w:tcPr>
          <w:p>
            <w:pPr>
              <w:spacing w:after="0"/>
            </w:pPr>
            <w:r/>
            <w:r>
              <w:rPr>
                <w:b w:val="0"/>
                <w:sz w:val="18"/>
              </w:rPr>
              <w:t>Churn prediction</w:t>
            </w:r>
          </w:p>
        </w:tc>
        <w:tc>
          <w:tcPr>
            <w:tcW w:type="dxa" w:w="3360"/>
            <w:vAlign w:val="center"/>
          </w:tcPr>
          <w:p>
            <w:pPr>
              <w:spacing w:after="0"/>
            </w:pPr>
            <w:r/>
            <w:r>
              <w:rPr>
                <w:b w:val="0"/>
                <w:sz w:val="18"/>
              </w:rPr>
              <w:t>PR-AUC, ROC-AUC, precision/recall at capacity, calibration, lift</w:t>
            </w:r>
          </w:p>
        </w:tc>
        <w:tc>
          <w:tcPr>
            <w:tcW w:type="dxa" w:w="3360"/>
            <w:vAlign w:val="center"/>
          </w:tcPr>
          <w:p>
            <w:pPr>
              <w:spacing w:after="0"/>
            </w:pPr>
            <w:r/>
            <w:r>
              <w:rPr>
                <w:b w:val="0"/>
                <w:sz w:val="18"/>
              </w:rPr>
              <w:t>Balances catching churners with outreach cost</w:t>
            </w:r>
          </w:p>
        </w:tc>
      </w:tr>
      <w:tr>
        <w:tc>
          <w:tcPr>
            <w:tcW w:type="dxa" w:w="3360"/>
            <w:vAlign w:val="center"/>
          </w:tcPr>
          <w:p>
            <w:pPr>
              <w:spacing w:after="0"/>
            </w:pPr>
            <w:r/>
            <w:r>
              <w:rPr>
                <w:b w:val="0"/>
                <w:sz w:val="18"/>
              </w:rPr>
              <w:t>Frequency / spend forecast</w:t>
            </w:r>
          </w:p>
        </w:tc>
        <w:tc>
          <w:tcPr>
            <w:tcW w:type="dxa" w:w="3360"/>
            <w:vAlign w:val="center"/>
          </w:tcPr>
          <w:p>
            <w:pPr>
              <w:spacing w:after="0"/>
            </w:pPr>
            <w:r/>
            <w:r>
              <w:rPr>
                <w:b w:val="0"/>
                <w:sz w:val="18"/>
              </w:rPr>
              <w:t>MAE, RMSE, WAPE or MASE; error by segment and period</w:t>
            </w:r>
          </w:p>
        </w:tc>
        <w:tc>
          <w:tcPr>
            <w:tcW w:type="dxa" w:w="3360"/>
            <w:vAlign w:val="center"/>
          </w:tcPr>
          <w:p>
            <w:pPr>
              <w:spacing w:after="0"/>
            </w:pPr>
            <w:r/>
            <w:r>
              <w:rPr>
                <w:b w:val="0"/>
                <w:sz w:val="18"/>
              </w:rPr>
              <w:t>Measures forecast accuracy and bias</w:t>
            </w:r>
          </w:p>
        </w:tc>
      </w:tr>
      <w:tr>
        <w:tc>
          <w:tcPr>
            <w:tcW w:type="dxa" w:w="3360"/>
            <w:vAlign w:val="center"/>
          </w:tcPr>
          <w:p>
            <w:pPr>
              <w:spacing w:after="0"/>
            </w:pPr>
            <w:r/>
            <w:r>
              <w:rPr>
                <w:b w:val="0"/>
                <w:sz w:val="18"/>
              </w:rPr>
              <w:t>CLV</w:t>
            </w:r>
          </w:p>
        </w:tc>
        <w:tc>
          <w:tcPr>
            <w:tcW w:type="dxa" w:w="3360"/>
            <w:vAlign w:val="center"/>
          </w:tcPr>
          <w:p>
            <w:pPr>
              <w:spacing w:after="0"/>
            </w:pPr>
            <w:r/>
            <w:r>
              <w:rPr>
                <w:b w:val="0"/>
                <w:sz w:val="18"/>
              </w:rPr>
              <w:t>Error by value band, calibration, rank correlation, realised value over horizon</w:t>
            </w:r>
          </w:p>
        </w:tc>
        <w:tc>
          <w:tcPr>
            <w:tcW w:type="dxa" w:w="3360"/>
            <w:vAlign w:val="center"/>
          </w:tcPr>
          <w:p>
            <w:pPr>
              <w:spacing w:after="0"/>
            </w:pPr>
            <w:r/>
            <w:r>
              <w:rPr>
                <w:b w:val="0"/>
                <w:sz w:val="18"/>
              </w:rPr>
              <w:t>Supports prioritisation without overstating certainty</w:t>
            </w:r>
          </w:p>
        </w:tc>
      </w:tr>
      <w:tr>
        <w:tc>
          <w:tcPr>
            <w:tcW w:type="dxa" w:w="3360"/>
            <w:vAlign w:val="center"/>
          </w:tcPr>
          <w:p>
            <w:pPr>
              <w:spacing w:after="0"/>
            </w:pPr>
            <w:r/>
            <w:r>
              <w:rPr>
                <w:b w:val="0"/>
                <w:sz w:val="18"/>
              </w:rPr>
              <w:t>Business impact</w:t>
            </w:r>
          </w:p>
        </w:tc>
        <w:tc>
          <w:tcPr>
            <w:tcW w:type="dxa" w:w="3360"/>
            <w:vAlign w:val="center"/>
          </w:tcPr>
          <w:p>
            <w:pPr>
              <w:spacing w:after="0"/>
            </w:pPr>
            <w:r/>
            <w:r>
              <w:rPr>
                <w:b w:val="0"/>
                <w:sz w:val="18"/>
              </w:rPr>
              <w:t>Incremental retention, conversion, net margin, cost per incremental outcome</w:t>
            </w:r>
          </w:p>
        </w:tc>
        <w:tc>
          <w:tcPr>
            <w:tcW w:type="dxa" w:w="3360"/>
            <w:vAlign w:val="center"/>
          </w:tcPr>
          <w:p>
            <w:pPr>
              <w:spacing w:after="0"/>
            </w:pPr>
            <w:r/>
            <w:r>
              <w:rPr>
                <w:b w:val="0"/>
                <w:sz w:val="18"/>
              </w:rPr>
              <w:t>Confirms value beyond offline model metrics</w:t>
            </w:r>
          </w:p>
        </w:tc>
      </w:tr>
      <w:tr>
        <w:tc>
          <w:tcPr>
            <w:tcW w:type="dxa" w:w="3360"/>
            <w:vAlign w:val="center"/>
          </w:tcPr>
          <w:p>
            <w:pPr>
              <w:spacing w:after="0"/>
            </w:pPr>
            <w:r/>
            <w:r>
              <w:rPr>
                <w:b w:val="0"/>
                <w:sz w:val="18"/>
              </w:rPr>
              <w:t>Operational health</w:t>
            </w:r>
          </w:p>
        </w:tc>
        <w:tc>
          <w:tcPr>
            <w:tcW w:type="dxa" w:w="3360"/>
            <w:vAlign w:val="center"/>
          </w:tcPr>
          <w:p>
            <w:pPr>
              <w:spacing w:after="0"/>
            </w:pPr>
            <w:r/>
            <w:r>
              <w:rPr>
                <w:b w:val="0"/>
                <w:sz w:val="18"/>
              </w:rPr>
              <w:t>Data freshness, missingness, drift, latency, opt-outs and complaints</w:t>
            </w:r>
          </w:p>
        </w:tc>
        <w:tc>
          <w:tcPr>
            <w:tcW w:type="dxa" w:w="3360"/>
            <w:vAlign w:val="center"/>
          </w:tcPr>
          <w:p>
            <w:pPr>
              <w:spacing w:after="0"/>
            </w:pPr>
            <w:r/>
            <w:r>
              <w:rPr>
                <w:b w:val="0"/>
                <w:sz w:val="18"/>
              </w:rPr>
              <w:t>Ensures the system remains reliable and responsible</w:t>
            </w:r>
          </w:p>
        </w:tc>
      </w:tr>
    </w:tbl>
    <w:p/>
    <w:p>
      <w:r>
        <w:t>Evaluate with rolling or forward-chaining validation for time-dependent tasks. Compare to simple baselines, report confidence intervals where feasible, and inspect performance across relevant customer groups. Choose thresholds based on campaign capacity, expected value and the cost of false positives/negatives.</w:t>
      </w:r>
    </w:p>
    <w:p>
      <w:pPr>
        <w:pStyle w:val="Heading1"/>
      </w:pPr>
      <w:r>
        <w:t>10. Deployment, Monitoring and Governance</w:t>
      </w:r>
    </w:p>
    <w:p>
      <w:pPr>
        <w:pStyle w:val="ListBullet"/>
      </w:pPr>
      <w:r>
        <w:t>Refresh customer features on a documented schedule, such as weekly or monthly, based on business needs and data availability.</w:t>
      </w:r>
    </w:p>
    <w:p>
      <w:pPr>
        <w:pStyle w:val="ListBullet"/>
      </w:pPr>
      <w:r>
        <w:t>Track feature drift, prediction distributions, calibration, realised outcomes and model performance over time; retrain only when justified.</w:t>
      </w:r>
    </w:p>
    <w:p>
      <w:pPr>
        <w:pStyle w:val="ListBullet"/>
      </w:pPr>
      <w:r>
        <w:t>Use pseudonymous identifiers, role-based access, retention limits and secure handling of customer data.</w:t>
      </w:r>
    </w:p>
    <w:p>
      <w:pPr>
        <w:pStyle w:val="ListBullet"/>
      </w:pPr>
      <w:r>
        <w:t>Respect marketing consent, opt-outs and applicable privacy requirements; collect only necessary data.</w:t>
      </w:r>
    </w:p>
    <w:p>
      <w:pPr>
        <w:pStyle w:val="ListBullet"/>
      </w:pPr>
      <w:r>
        <w:t>Document model version, training window, assumptions, limitations, owner and rollback procedure.</w:t>
      </w:r>
    </w:p>
    <w:p>
      <w:pPr>
        <w:pStyle w:val="ListBullet"/>
      </w:pPr>
      <w:r>
        <w:t>Keep a human/business approval step for high-impact actions and use holdout groups to measure incremental effects.</w:t>
      </w:r>
    </w:p>
    <w:p>
      <w:pPr>
        <w:pStyle w:val="Heading1"/>
      </w:pPr>
      <w:r>
        <w:t>11. Assumptions, Limitations and Expected Outcomes</w:t>
      </w:r>
    </w:p>
    <w:p>
      <w:r>
        <w:t>The framework assumes that transaction records are sufficiently complete, customer identifiers can be joined reliably, and historical behaviour offers some signal about future behaviour. New customers may have limited history, so cold-start rules or cohort-level baselines may be needed. Promotions, stockouts, economic changes and policy changes can shift behaviour, so predictions are uncertain and should not be treated as guarantees. The report proposes a framework; no performance result is claimed because no real dataset has been evaluated here. Expected outcomes are more consistent customer groups, measurable risk scores and forecasts, and a testable process for allocating marketing effort and improving customer experience.</w:t>
      </w:r>
    </w:p>
    <w:p>
      <w:pPr>
        <w:pStyle w:val="Heading1"/>
      </w:pPr>
      <w:r>
        <w:t>12. Conclusion</w:t>
      </w:r>
    </w:p>
    <w:p>
      <w:r>
        <w:t>A practical retail customer intelligence strategy combines interpretable RFM segmentation, validated clustering and task-specific forecasting models. Python provides a reproducible toolchain for preparing data, training models and measuring results. Success should be judged not only by statistical scores but also by incremental business value, operational reliability, customer experience and responsible data use. The recommended next step is to implement the baseline on a real, time-stamped retail dataset, document data quality and compare candidate methods using a chronological test period before deployment.</w:t>
      </w:r>
    </w:p>
    <w:p>
      <w:pPr>
        <w:pStyle w:val="Heading1"/>
      </w:pPr>
      <w:r>
        <w:t>Submission Checklist</w:t>
      </w:r>
    </w:p>
    <w:p>
      <w:pPr>
        <w:pStyle w:val="ListBullet"/>
      </w:pPr>
      <w:r>
        <w:t>The report explains data sources, segmentation dimensions and feature engineering.</w:t>
      </w:r>
    </w:p>
    <w:p>
      <w:pPr>
        <w:pStyle w:val="ListBullet"/>
      </w:pPr>
      <w:r>
        <w:t>It compares clustering, classification and forecasting approaches, including trade-offs.</w:t>
      </w:r>
    </w:p>
    <w:p>
      <w:pPr>
        <w:pStyle w:val="ListBullet"/>
      </w:pPr>
      <w:r>
        <w:t>It includes a Python workflow, illustrative pseudocode and conceptual system design.</w:t>
      </w:r>
    </w:p>
    <w:p>
      <w:pPr>
        <w:pStyle w:val="ListBullet"/>
      </w:pPr>
      <w:r>
        <w:t>It defines offline model metrics and business success measures.</w:t>
      </w:r>
    </w:p>
    <w:p>
      <w:pPr>
        <w:pStyle w:val="ListBullet"/>
      </w:pPr>
      <w:r>
        <w:t>It documents assumptions, limitations, monitoring and privacy safeguards.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5 | Customer Forecasting and Segmentation Analysis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