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F4E79"/>
          <w:sz w:val="28"/>
        </w:rPr>
        <w:t>WEEK 6 — FINAL TASK</w:t>
      </w:r>
    </w:p>
    <w:p>
      <w:pPr>
        <w:pStyle w:val="Title"/>
        <w:jc w:val="center"/>
      </w:pPr>
      <w:r>
        <w:t>Deployment Strategy,</w:t>
        <w:br/>
        <w:t>Monitoring, and Reporting Framework</w:t>
      </w:r>
    </w:p>
    <w:p>
      <w:pPr>
        <w:jc w:val="center"/>
      </w:pPr>
      <w:r>
        <w:rPr>
          <w:i/>
          <w:sz w:val="24"/>
        </w:rPr>
        <w:t>A Practical Production Framework for Retail Data Science Solutions</w:t>
      </w:r>
    </w:p>
    <w:p>
      <w:pPr>
        <w:jc w:val="center"/>
      </w:pPr>
      <w:r>
        <w:br/>
        <w:t>Prepared for a retail analytics environment</w:t>
        <w:br/>
        <w:t>Python-based deployment and continuous improvement</w:t>
      </w:r>
    </w:p>
    <w:p>
      <w:r>
        <w:br w:type="page"/>
      </w:r>
    </w:p>
    <w:p>
      <w:pPr>
        <w:pStyle w:val="Heading1"/>
      </w:pPr>
      <w:r>
        <w:t>1. Executive Summary</w:t>
      </w:r>
    </w:p>
    <w:p>
      <w:r>
        <w:t>This report proposes an end-to-end strategy for moving a retail data science solution from development into a reliable production environment. A model is not production-ready simply because it performs well in a notebook: it must be reproducible, secure, observable, scalable, recoverable and useful to business users. The proposed framework combines version-controlled code, repeatable data pipelines, model and configuration versioning, containerisation, automated testing, controlled deployment, monitoring, alerts and KPI reporting. It can support retail use cases such as churn-risk scoring, customer segmentation, demand forecasting, recommendation ranking and inventory planning. The strategy is cloud-neutral: the same container image can be deployed to a managed cloud service or to an organisation's on-premise infrastructure, subject to the chosen platform's requirements. Monitoring combines technical health, data quality, model behaviour and business outcomes. Retraining is triggered by evidence and governance rules rather than by an arbitrary schedule alone. Dashboards and scheduled reports connect model metrics to operational KPIs such as conversion, retention, forecast error, stock availability and campaign margin.</w:t>
      </w:r>
    </w:p>
    <w:p>
      <w:pPr>
        <w:pStyle w:val="Heading1"/>
      </w:pPr>
      <w:r>
        <w:t>2. Scope, Assumptions and Success Criteria</w:t>
      </w:r>
    </w:p>
    <w:p>
      <w:r>
        <w:t>The framework assumes a Python model or analytical pipeline, historical retail data, a defined business owner and a deployment target. The model may return batch predictions (for example, nightly churn scores) or real-time predictions (for example, a product recommendation API). The deployment design should be chosen according to latency, volume, cost, reliability and integration requirements. Success means that the service produces valid outputs within agreed service-level objectives, uses approved data, maintains acceptable predictive quality, exposes clear operational signals, and creates measurable business value. Before implementation, stakeholders should define a model card, data contract, expected input schema, fallback behaviour, prediction horizon, ownership and rollback conditions. All numerical targets should be set from business requirements and baseline measurements rather than invented in advance.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7"/>
              </w:rPr>
              <w:t>Area</w:t>
            </w:r>
          </w:p>
        </w:tc>
        <w:tc>
          <w:tcPr>
            <w:tcW w:type="dxa" w:w="3408"/>
            <w:vAlign w:val="center"/>
            <w:shd w:fill="D9EAF7"/>
          </w:tcPr>
          <w:p>
            <w:pPr>
              <w:spacing w:after="0"/>
            </w:pPr>
            <w:r/>
            <w:r>
              <w:rPr>
                <w:b/>
                <w:sz w:val="17"/>
              </w:rPr>
              <w:t>Example success measure</w:t>
            </w:r>
          </w:p>
        </w:tc>
        <w:tc>
          <w:tcPr>
            <w:tcW w:type="dxa" w:w="3408"/>
            <w:vAlign w:val="center"/>
            <w:shd w:fill="D9EAF7"/>
          </w:tcPr>
          <w:p>
            <w:pPr>
              <w:spacing w:after="0"/>
            </w:pPr>
            <w:r/>
            <w:r>
              <w:rPr>
                <w:b/>
                <w:sz w:val="17"/>
              </w:rPr>
              <w:t>Owner</w:t>
            </w:r>
          </w:p>
        </w:tc>
      </w:tr>
      <w:tr>
        <w:tc>
          <w:tcPr>
            <w:tcW w:type="dxa" w:w="3408"/>
            <w:vAlign w:val="center"/>
          </w:tcPr>
          <w:p>
            <w:pPr>
              <w:spacing w:after="0"/>
            </w:pPr>
            <w:r/>
            <w:r>
              <w:rPr>
                <w:b w:val="0"/>
                <w:sz w:val="17"/>
              </w:rPr>
              <w:t>Technical reliability</w:t>
            </w:r>
          </w:p>
        </w:tc>
        <w:tc>
          <w:tcPr>
            <w:tcW w:type="dxa" w:w="3408"/>
            <w:vAlign w:val="center"/>
          </w:tcPr>
          <w:p>
            <w:pPr>
              <w:spacing w:after="0"/>
            </w:pPr>
            <w:r/>
            <w:r>
              <w:rPr>
                <w:b w:val="0"/>
                <w:sz w:val="17"/>
              </w:rPr>
              <w:t>Availability, latency, job completion rate, error rate</w:t>
            </w:r>
          </w:p>
        </w:tc>
        <w:tc>
          <w:tcPr>
            <w:tcW w:type="dxa" w:w="3408"/>
            <w:vAlign w:val="center"/>
          </w:tcPr>
          <w:p>
            <w:pPr>
              <w:spacing w:after="0"/>
            </w:pPr>
            <w:r/>
            <w:r>
              <w:rPr>
                <w:b w:val="0"/>
                <w:sz w:val="17"/>
              </w:rPr>
              <w:t>Engineering / platform</w:t>
            </w:r>
          </w:p>
        </w:tc>
      </w:tr>
      <w:tr>
        <w:tc>
          <w:tcPr>
            <w:tcW w:type="dxa" w:w="3408"/>
            <w:vAlign w:val="center"/>
          </w:tcPr>
          <w:p>
            <w:pPr>
              <w:spacing w:after="0"/>
            </w:pPr>
            <w:r/>
            <w:r>
              <w:rPr>
                <w:b w:val="0"/>
                <w:sz w:val="17"/>
              </w:rPr>
              <w:t>Data quality</w:t>
            </w:r>
          </w:p>
        </w:tc>
        <w:tc>
          <w:tcPr>
            <w:tcW w:type="dxa" w:w="3408"/>
            <w:vAlign w:val="center"/>
          </w:tcPr>
          <w:p>
            <w:pPr>
              <w:spacing w:after="0"/>
            </w:pPr>
            <w:r/>
            <w:r>
              <w:rPr>
                <w:b w:val="0"/>
                <w:sz w:val="17"/>
              </w:rPr>
              <w:t>Freshness, missingness, schema violations, duplicate rate</w:t>
            </w:r>
          </w:p>
        </w:tc>
        <w:tc>
          <w:tcPr>
            <w:tcW w:type="dxa" w:w="3408"/>
            <w:vAlign w:val="center"/>
          </w:tcPr>
          <w:p>
            <w:pPr>
              <w:spacing w:after="0"/>
            </w:pPr>
            <w:r/>
            <w:r>
              <w:rPr>
                <w:b w:val="0"/>
                <w:sz w:val="17"/>
              </w:rPr>
              <w:t>Data engineering</w:t>
            </w:r>
          </w:p>
        </w:tc>
      </w:tr>
      <w:tr>
        <w:tc>
          <w:tcPr>
            <w:tcW w:type="dxa" w:w="3408"/>
            <w:vAlign w:val="center"/>
          </w:tcPr>
          <w:p>
            <w:pPr>
              <w:spacing w:after="0"/>
            </w:pPr>
            <w:r/>
            <w:r>
              <w:rPr>
                <w:b w:val="0"/>
                <w:sz w:val="17"/>
              </w:rPr>
              <w:t>Model quality</w:t>
            </w:r>
          </w:p>
        </w:tc>
        <w:tc>
          <w:tcPr>
            <w:tcW w:type="dxa" w:w="3408"/>
            <w:vAlign w:val="center"/>
          </w:tcPr>
          <w:p>
            <w:pPr>
              <w:spacing w:after="0"/>
            </w:pPr>
            <w:r/>
            <w:r>
              <w:rPr>
                <w:b w:val="0"/>
                <w:sz w:val="17"/>
              </w:rPr>
              <w:t>Precision/recall, PR-AUC, forecast MAE/WAPE, calibration</w:t>
            </w:r>
          </w:p>
        </w:tc>
        <w:tc>
          <w:tcPr>
            <w:tcW w:type="dxa" w:w="3408"/>
            <w:vAlign w:val="center"/>
          </w:tcPr>
          <w:p>
            <w:pPr>
              <w:spacing w:after="0"/>
            </w:pPr>
            <w:r/>
            <w:r>
              <w:rPr>
                <w:b w:val="0"/>
                <w:sz w:val="17"/>
              </w:rPr>
              <w:t>Data science</w:t>
            </w:r>
          </w:p>
        </w:tc>
      </w:tr>
      <w:tr>
        <w:tc>
          <w:tcPr>
            <w:tcW w:type="dxa" w:w="3408"/>
            <w:vAlign w:val="center"/>
          </w:tcPr>
          <w:p>
            <w:pPr>
              <w:spacing w:after="0"/>
            </w:pPr>
            <w:r/>
            <w:r>
              <w:rPr>
                <w:b w:val="0"/>
                <w:sz w:val="17"/>
              </w:rPr>
              <w:t>Business impact</w:t>
            </w:r>
          </w:p>
        </w:tc>
        <w:tc>
          <w:tcPr>
            <w:tcW w:type="dxa" w:w="3408"/>
            <w:vAlign w:val="center"/>
          </w:tcPr>
          <w:p>
            <w:pPr>
              <w:spacing w:after="0"/>
            </w:pPr>
            <w:r/>
            <w:r>
              <w:rPr>
                <w:b w:val="0"/>
                <w:sz w:val="17"/>
              </w:rPr>
              <w:t>Incremental conversion/retention, net margin, stock availability</w:t>
            </w:r>
          </w:p>
        </w:tc>
        <w:tc>
          <w:tcPr>
            <w:tcW w:type="dxa" w:w="3408"/>
            <w:vAlign w:val="center"/>
          </w:tcPr>
          <w:p>
            <w:pPr>
              <w:spacing w:after="0"/>
            </w:pPr>
            <w:r/>
            <w:r>
              <w:rPr>
                <w:b w:val="0"/>
                <w:sz w:val="17"/>
              </w:rPr>
              <w:t>Retail business owner</w:t>
            </w:r>
          </w:p>
        </w:tc>
      </w:tr>
      <w:tr>
        <w:tc>
          <w:tcPr>
            <w:tcW w:type="dxa" w:w="3408"/>
            <w:vAlign w:val="center"/>
          </w:tcPr>
          <w:p>
            <w:pPr>
              <w:spacing w:after="0"/>
            </w:pPr>
            <w:r/>
            <w:r>
              <w:rPr>
                <w:b w:val="0"/>
                <w:sz w:val="17"/>
              </w:rPr>
              <w:t>Governance</w:t>
            </w:r>
          </w:p>
        </w:tc>
        <w:tc>
          <w:tcPr>
            <w:tcW w:type="dxa" w:w="3408"/>
            <w:vAlign w:val="center"/>
          </w:tcPr>
          <w:p>
            <w:pPr>
              <w:spacing w:after="0"/>
            </w:pPr>
            <w:r/>
            <w:r>
              <w:rPr>
                <w:b w:val="0"/>
                <w:sz w:val="17"/>
              </w:rPr>
              <w:t>Access review, audit trail, consent/retention compliance</w:t>
            </w:r>
          </w:p>
        </w:tc>
        <w:tc>
          <w:tcPr>
            <w:tcW w:type="dxa" w:w="3408"/>
            <w:vAlign w:val="center"/>
          </w:tcPr>
          <w:p>
            <w:pPr>
              <w:spacing w:after="0"/>
            </w:pPr>
            <w:r/>
            <w:r>
              <w:rPr>
                <w:b w:val="0"/>
                <w:sz w:val="17"/>
              </w:rPr>
              <w:t>Security / governance</w:t>
            </w:r>
          </w:p>
        </w:tc>
      </w:tr>
    </w:tbl>
    <w:p/>
    <w:p>
      <w:pPr>
        <w:pStyle w:val="Heading1"/>
      </w:pPr>
      <w:r>
        <w:t>3. End-to-End Deployment Plan</w:t>
      </w:r>
    </w:p>
    <w:p>
      <w:r>
        <w:t>Deployment begins with a reproducible training pipeline and a reviewed candidate model. Store source code in version control, pin dependencies, record data and feature definitions, and preserve model artefacts with version identifiers. Automated checks should validate unit behaviour, input schemas, feature ranges, data leakage controls and model performance against a baseline. A candidate is promoted only after review by data science, engineering and the business owner. Package the inference code and its runtime dependencies into a container image so development, testing and production use consistent software environments. Push the image to an approved registry, configure secrets outside the image, and deploy first to a staging environment. Run integration, load, security and rollback tests before production release. For an API, expose a versioned endpoint with authentication, request validation, timeouts and structured logs. For batch scoring, use a scheduler or workflow orchestrator, write predictions to a controlled table and validate row counts and output ranges. Use a canary or blue-green rollout when supported; compare the new version against the current version and retain the previous stable version for fast rollback.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7"/>
              </w:rPr>
              <w:t>Phase</w:t>
            </w:r>
          </w:p>
        </w:tc>
        <w:tc>
          <w:tcPr>
            <w:tcW w:type="dxa" w:w="3408"/>
            <w:vAlign w:val="center"/>
            <w:shd w:fill="D9EAF7"/>
          </w:tcPr>
          <w:p>
            <w:pPr>
              <w:spacing w:after="0"/>
            </w:pPr>
            <w:r/>
            <w:r>
              <w:rPr>
                <w:b/>
                <w:sz w:val="17"/>
              </w:rPr>
              <w:t>Key activities</w:t>
            </w:r>
          </w:p>
        </w:tc>
        <w:tc>
          <w:tcPr>
            <w:tcW w:type="dxa" w:w="3408"/>
            <w:vAlign w:val="center"/>
            <w:shd w:fill="D9EAF7"/>
          </w:tcPr>
          <w:p>
            <w:pPr>
              <w:spacing w:after="0"/>
            </w:pPr>
            <w:r/>
            <w:r>
              <w:rPr>
                <w:b/>
                <w:sz w:val="17"/>
              </w:rPr>
              <w:t>Release gate</w:t>
            </w:r>
          </w:p>
        </w:tc>
      </w:tr>
      <w:tr>
        <w:tc>
          <w:tcPr>
            <w:tcW w:type="dxa" w:w="3408"/>
            <w:vAlign w:val="center"/>
          </w:tcPr>
          <w:p>
            <w:pPr>
              <w:spacing w:after="0"/>
            </w:pPr>
            <w:r/>
            <w:r>
              <w:rPr>
                <w:b w:val="0"/>
                <w:sz w:val="17"/>
              </w:rPr>
              <w:t>1. Build</w:t>
            </w:r>
          </w:p>
        </w:tc>
        <w:tc>
          <w:tcPr>
            <w:tcW w:type="dxa" w:w="3408"/>
            <w:vAlign w:val="center"/>
          </w:tcPr>
          <w:p>
            <w:pPr>
              <w:spacing w:after="0"/>
            </w:pPr>
            <w:r/>
            <w:r>
              <w:rPr>
                <w:b w:val="0"/>
                <w:sz w:val="17"/>
              </w:rPr>
              <w:t>Version code, dependencies, data contract and model artefact</w:t>
            </w:r>
          </w:p>
        </w:tc>
        <w:tc>
          <w:tcPr>
            <w:tcW w:type="dxa" w:w="3408"/>
            <w:vAlign w:val="center"/>
          </w:tcPr>
          <w:p>
            <w:pPr>
              <w:spacing w:after="0"/>
            </w:pPr>
            <w:r/>
            <w:r>
              <w:rPr>
                <w:b w:val="0"/>
                <w:sz w:val="17"/>
              </w:rPr>
              <w:t>Reproducible build</w:t>
            </w:r>
          </w:p>
        </w:tc>
      </w:tr>
      <w:tr>
        <w:tc>
          <w:tcPr>
            <w:tcW w:type="dxa" w:w="3408"/>
            <w:vAlign w:val="center"/>
          </w:tcPr>
          <w:p>
            <w:pPr>
              <w:spacing w:after="0"/>
            </w:pPr>
            <w:r/>
            <w:r>
              <w:rPr>
                <w:b w:val="0"/>
                <w:sz w:val="17"/>
              </w:rPr>
              <w:t>2. Test</w:t>
            </w:r>
          </w:p>
        </w:tc>
        <w:tc>
          <w:tcPr>
            <w:tcW w:type="dxa" w:w="3408"/>
            <w:vAlign w:val="center"/>
          </w:tcPr>
          <w:p>
            <w:pPr>
              <w:spacing w:after="0"/>
            </w:pPr>
            <w:r/>
            <w:r>
              <w:rPr>
                <w:b w:val="0"/>
                <w:sz w:val="17"/>
              </w:rPr>
              <w:t>Unit, integration, data validation, security and load tests</w:t>
            </w:r>
          </w:p>
        </w:tc>
        <w:tc>
          <w:tcPr>
            <w:tcW w:type="dxa" w:w="3408"/>
            <w:vAlign w:val="center"/>
          </w:tcPr>
          <w:p>
            <w:pPr>
              <w:spacing w:after="0"/>
            </w:pPr>
            <w:r/>
            <w:r>
              <w:rPr>
                <w:b w:val="0"/>
                <w:sz w:val="17"/>
              </w:rPr>
              <w:t>Tests pass; baseline met</w:t>
            </w:r>
          </w:p>
        </w:tc>
      </w:tr>
      <w:tr>
        <w:tc>
          <w:tcPr>
            <w:tcW w:type="dxa" w:w="3408"/>
            <w:vAlign w:val="center"/>
          </w:tcPr>
          <w:p>
            <w:pPr>
              <w:spacing w:after="0"/>
            </w:pPr>
            <w:r/>
            <w:r>
              <w:rPr>
                <w:b w:val="0"/>
                <w:sz w:val="17"/>
              </w:rPr>
              <w:t>3. Package</w:t>
            </w:r>
          </w:p>
        </w:tc>
        <w:tc>
          <w:tcPr>
            <w:tcW w:type="dxa" w:w="3408"/>
            <w:vAlign w:val="center"/>
          </w:tcPr>
          <w:p>
            <w:pPr>
              <w:spacing w:after="0"/>
            </w:pPr>
            <w:r/>
            <w:r>
              <w:rPr>
                <w:b w:val="0"/>
                <w:sz w:val="17"/>
              </w:rPr>
              <w:t>Build container, scan image, publish to registry</w:t>
            </w:r>
          </w:p>
        </w:tc>
        <w:tc>
          <w:tcPr>
            <w:tcW w:type="dxa" w:w="3408"/>
            <w:vAlign w:val="center"/>
          </w:tcPr>
          <w:p>
            <w:pPr>
              <w:spacing w:after="0"/>
            </w:pPr>
            <w:r/>
            <w:r>
              <w:rPr>
                <w:b w:val="0"/>
                <w:sz w:val="17"/>
              </w:rPr>
              <w:t>Approved immutable image</w:t>
            </w:r>
          </w:p>
        </w:tc>
      </w:tr>
      <w:tr>
        <w:tc>
          <w:tcPr>
            <w:tcW w:type="dxa" w:w="3408"/>
            <w:vAlign w:val="center"/>
          </w:tcPr>
          <w:p>
            <w:pPr>
              <w:spacing w:after="0"/>
            </w:pPr>
            <w:r/>
            <w:r>
              <w:rPr>
                <w:b w:val="0"/>
                <w:sz w:val="17"/>
              </w:rPr>
              <w:t>4. Stage</w:t>
            </w:r>
          </w:p>
        </w:tc>
        <w:tc>
          <w:tcPr>
            <w:tcW w:type="dxa" w:w="3408"/>
            <w:vAlign w:val="center"/>
          </w:tcPr>
          <w:p>
            <w:pPr>
              <w:spacing w:after="0"/>
            </w:pPr>
            <w:r/>
            <w:r>
              <w:rPr>
                <w:b w:val="0"/>
                <w:sz w:val="17"/>
              </w:rPr>
              <w:t>Deploy to staging; test API/workflow and rollback</w:t>
            </w:r>
          </w:p>
        </w:tc>
        <w:tc>
          <w:tcPr>
            <w:tcW w:type="dxa" w:w="3408"/>
            <w:vAlign w:val="center"/>
          </w:tcPr>
          <w:p>
            <w:pPr>
              <w:spacing w:after="0"/>
            </w:pPr>
            <w:r/>
            <w:r>
              <w:rPr>
                <w:b w:val="0"/>
                <w:sz w:val="17"/>
              </w:rPr>
              <w:t>Business and technical sign-off</w:t>
            </w:r>
          </w:p>
        </w:tc>
      </w:tr>
      <w:tr>
        <w:tc>
          <w:tcPr>
            <w:tcW w:type="dxa" w:w="3408"/>
            <w:vAlign w:val="center"/>
          </w:tcPr>
          <w:p>
            <w:pPr>
              <w:spacing w:after="0"/>
            </w:pPr>
            <w:r/>
            <w:r>
              <w:rPr>
                <w:b w:val="0"/>
                <w:sz w:val="17"/>
              </w:rPr>
              <w:t>5. Release</w:t>
            </w:r>
          </w:p>
        </w:tc>
        <w:tc>
          <w:tcPr>
            <w:tcW w:type="dxa" w:w="3408"/>
            <w:vAlign w:val="center"/>
          </w:tcPr>
          <w:p>
            <w:pPr>
              <w:spacing w:after="0"/>
            </w:pPr>
            <w:r/>
            <w:r>
              <w:rPr>
                <w:b w:val="0"/>
                <w:sz w:val="17"/>
              </w:rPr>
              <w:t>Canary/blue-green or controlled batch cutover</w:t>
            </w:r>
          </w:p>
        </w:tc>
        <w:tc>
          <w:tcPr>
            <w:tcW w:type="dxa" w:w="3408"/>
            <w:vAlign w:val="center"/>
          </w:tcPr>
          <w:p>
            <w:pPr>
              <w:spacing w:after="0"/>
            </w:pPr>
            <w:r/>
            <w:r>
              <w:rPr>
                <w:b w:val="0"/>
                <w:sz w:val="17"/>
              </w:rPr>
              <w:t>Health and output checks pass</w:t>
            </w:r>
          </w:p>
        </w:tc>
      </w:tr>
      <w:tr>
        <w:tc>
          <w:tcPr>
            <w:tcW w:type="dxa" w:w="3408"/>
            <w:vAlign w:val="center"/>
          </w:tcPr>
          <w:p>
            <w:pPr>
              <w:spacing w:after="0"/>
            </w:pPr>
            <w:r/>
            <w:r>
              <w:rPr>
                <w:b w:val="0"/>
                <w:sz w:val="17"/>
              </w:rPr>
              <w:t>6. Operate</w:t>
            </w:r>
          </w:p>
        </w:tc>
        <w:tc>
          <w:tcPr>
            <w:tcW w:type="dxa" w:w="3408"/>
            <w:vAlign w:val="center"/>
          </w:tcPr>
          <w:p>
            <w:pPr>
              <w:spacing w:after="0"/>
            </w:pPr>
            <w:r/>
            <w:r>
              <w:rPr>
                <w:b w:val="0"/>
                <w:sz w:val="17"/>
              </w:rPr>
              <w:t>Monitor, report, investigate, retrain or roll back</w:t>
            </w:r>
          </w:p>
        </w:tc>
        <w:tc>
          <w:tcPr>
            <w:tcW w:type="dxa" w:w="3408"/>
            <w:vAlign w:val="center"/>
          </w:tcPr>
          <w:p>
            <w:pPr>
              <w:spacing w:after="0"/>
            </w:pPr>
            <w:r/>
            <w:r>
              <w:rPr>
                <w:b w:val="0"/>
                <w:sz w:val="17"/>
              </w:rPr>
              <w:t>SLOs and governance maintained</w:t>
            </w:r>
          </w:p>
        </w:tc>
      </w:tr>
    </w:tbl>
    <w:p/>
    <w:p>
      <w:pPr>
        <w:pStyle w:val="Heading1"/>
      </w:pPr>
      <w:r>
        <w:t>4. Containerisation and Infrastructure Options</w:t>
      </w:r>
    </w:p>
    <w:p>
      <w:r>
        <w:t>Docker is a common option for packaging Python inference services with pinned dependencies. A minimal container should use a supported base image, install only required packages, run as a non-root user, expose a documented health endpoint where relevant, and avoid embedding credentials or private data. Build images in CI, scan dependencies and operating-system packages, tag each image with a release identifier, and prefer immutable artefacts. Kubernetes or a managed container platform can provide replicas, rolling updates and resource limits for services with variable traffic. For simpler workloads, a managed application service or scheduled container job may be cheaper and easier to operate. On-premise deployment may use an internal container platform or virtual machines, but needs local capacity planning, patching, network controls, backup and disaster-recovery processes. Select the platform based on data residency, security, skills, latency, availability, scale and total cost—not because one platform is universally best.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7"/>
              </w:rPr>
              <w:t>Option</w:t>
            </w:r>
          </w:p>
        </w:tc>
        <w:tc>
          <w:tcPr>
            <w:tcW w:type="dxa" w:w="3408"/>
            <w:vAlign w:val="center"/>
            <w:shd w:fill="D9EAF7"/>
          </w:tcPr>
          <w:p>
            <w:pPr>
              <w:spacing w:after="0"/>
            </w:pPr>
            <w:r/>
            <w:r>
              <w:rPr>
                <w:b/>
                <w:sz w:val="17"/>
              </w:rPr>
              <w:t>Suitable use</w:t>
            </w:r>
          </w:p>
        </w:tc>
        <w:tc>
          <w:tcPr>
            <w:tcW w:type="dxa" w:w="3408"/>
            <w:vAlign w:val="center"/>
            <w:shd w:fill="D9EAF7"/>
          </w:tcPr>
          <w:p>
            <w:pPr>
              <w:spacing w:after="0"/>
            </w:pPr>
            <w:r/>
            <w:r>
              <w:rPr>
                <w:b/>
                <w:sz w:val="17"/>
              </w:rPr>
              <w:t>Trade-offs</w:t>
            </w:r>
          </w:p>
        </w:tc>
      </w:tr>
      <w:tr>
        <w:tc>
          <w:tcPr>
            <w:tcW w:type="dxa" w:w="3408"/>
            <w:vAlign w:val="center"/>
          </w:tcPr>
          <w:p>
            <w:pPr>
              <w:spacing w:after="0"/>
            </w:pPr>
            <w:r/>
            <w:r>
              <w:rPr>
                <w:b w:val="0"/>
                <w:sz w:val="17"/>
              </w:rPr>
              <w:t>Batch job / scheduled container</w:t>
            </w:r>
          </w:p>
        </w:tc>
        <w:tc>
          <w:tcPr>
            <w:tcW w:type="dxa" w:w="3408"/>
            <w:vAlign w:val="center"/>
          </w:tcPr>
          <w:p>
            <w:pPr>
              <w:spacing w:after="0"/>
            </w:pPr>
            <w:r/>
            <w:r>
              <w:rPr>
                <w:b w:val="0"/>
                <w:sz w:val="17"/>
              </w:rPr>
              <w:t>Daily churn scores, weekly forecasts, segmentation refresh</w:t>
            </w:r>
          </w:p>
        </w:tc>
        <w:tc>
          <w:tcPr>
            <w:tcW w:type="dxa" w:w="3408"/>
            <w:vAlign w:val="center"/>
          </w:tcPr>
          <w:p>
            <w:pPr>
              <w:spacing w:after="0"/>
            </w:pPr>
            <w:r/>
            <w:r>
              <w:rPr>
                <w:b w:val="0"/>
                <w:sz w:val="17"/>
              </w:rPr>
              <w:t>Simple and economical; outputs are not instantaneous</w:t>
            </w:r>
          </w:p>
        </w:tc>
      </w:tr>
      <w:tr>
        <w:tc>
          <w:tcPr>
            <w:tcW w:type="dxa" w:w="3408"/>
            <w:vAlign w:val="center"/>
          </w:tcPr>
          <w:p>
            <w:pPr>
              <w:spacing w:after="0"/>
            </w:pPr>
            <w:r/>
            <w:r>
              <w:rPr>
                <w:b w:val="0"/>
                <w:sz w:val="17"/>
              </w:rPr>
              <w:t>Managed container service</w:t>
            </w:r>
          </w:p>
        </w:tc>
        <w:tc>
          <w:tcPr>
            <w:tcW w:type="dxa" w:w="3408"/>
            <w:vAlign w:val="center"/>
          </w:tcPr>
          <w:p>
            <w:pPr>
              <w:spacing w:after="0"/>
            </w:pPr>
            <w:r/>
            <w:r>
              <w:rPr>
                <w:b w:val="0"/>
                <w:sz w:val="17"/>
              </w:rPr>
              <w:t>HTTP prediction API with moderate operations needs</w:t>
            </w:r>
          </w:p>
        </w:tc>
        <w:tc>
          <w:tcPr>
            <w:tcW w:type="dxa" w:w="3408"/>
            <w:vAlign w:val="center"/>
          </w:tcPr>
          <w:p>
            <w:pPr>
              <w:spacing w:after="0"/>
            </w:pPr>
            <w:r/>
            <w:r>
              <w:rPr>
                <w:b w:val="0"/>
                <w:sz w:val="17"/>
              </w:rPr>
              <w:t>Less platform maintenance; platform-specific constraints</w:t>
            </w:r>
          </w:p>
        </w:tc>
      </w:tr>
      <w:tr>
        <w:tc>
          <w:tcPr>
            <w:tcW w:type="dxa" w:w="3408"/>
            <w:vAlign w:val="center"/>
          </w:tcPr>
          <w:p>
            <w:pPr>
              <w:spacing w:after="0"/>
            </w:pPr>
            <w:r/>
            <w:r>
              <w:rPr>
                <w:b w:val="0"/>
                <w:sz w:val="17"/>
              </w:rPr>
              <w:t>Kubernetes</w:t>
            </w:r>
          </w:p>
        </w:tc>
        <w:tc>
          <w:tcPr>
            <w:tcW w:type="dxa" w:w="3408"/>
            <w:vAlign w:val="center"/>
          </w:tcPr>
          <w:p>
            <w:pPr>
              <w:spacing w:after="0"/>
            </w:pPr>
            <w:r/>
            <w:r>
              <w:rPr>
                <w:b w:val="0"/>
                <w:sz w:val="17"/>
              </w:rPr>
              <w:t>Multiple services, high scale or complex rollout needs</w:t>
            </w:r>
          </w:p>
        </w:tc>
        <w:tc>
          <w:tcPr>
            <w:tcW w:type="dxa" w:w="3408"/>
            <w:vAlign w:val="center"/>
          </w:tcPr>
          <w:p>
            <w:pPr>
              <w:spacing w:after="0"/>
            </w:pPr>
            <w:r/>
            <w:r>
              <w:rPr>
                <w:b w:val="0"/>
                <w:sz w:val="17"/>
              </w:rPr>
              <w:t>Flexible; greater operational complexity</w:t>
            </w:r>
          </w:p>
        </w:tc>
      </w:tr>
      <w:tr>
        <w:tc>
          <w:tcPr>
            <w:tcW w:type="dxa" w:w="3408"/>
            <w:vAlign w:val="center"/>
          </w:tcPr>
          <w:p>
            <w:pPr>
              <w:spacing w:after="0"/>
            </w:pPr>
            <w:r/>
            <w:r>
              <w:rPr>
                <w:b w:val="0"/>
                <w:sz w:val="17"/>
              </w:rPr>
              <w:t>On-premise servers</w:t>
            </w:r>
          </w:p>
        </w:tc>
        <w:tc>
          <w:tcPr>
            <w:tcW w:type="dxa" w:w="3408"/>
            <w:vAlign w:val="center"/>
          </w:tcPr>
          <w:p>
            <w:pPr>
              <w:spacing w:after="0"/>
            </w:pPr>
            <w:r/>
            <w:r>
              <w:rPr>
                <w:b w:val="0"/>
                <w:sz w:val="17"/>
              </w:rPr>
              <w:t>Strict local infrastructure or residency constraints</w:t>
            </w:r>
          </w:p>
        </w:tc>
        <w:tc>
          <w:tcPr>
            <w:tcW w:type="dxa" w:w="3408"/>
            <w:vAlign w:val="center"/>
          </w:tcPr>
          <w:p>
            <w:pPr>
              <w:spacing w:after="0"/>
            </w:pPr>
            <w:r/>
            <w:r>
              <w:rPr>
                <w:b w:val="0"/>
                <w:sz w:val="17"/>
              </w:rPr>
              <w:t>Direct control; team owns capacity, patching and recovery</w:t>
            </w:r>
          </w:p>
        </w:tc>
      </w:tr>
    </w:tbl>
    <w:p/>
    <w:p>
      <w:pPr>
        <w:pStyle w:val="Heading1"/>
      </w:pPr>
      <w:r>
        <w:t>5. Conceptual Deployment Flow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7"/>
              </w:rPr>
              <w:t>Step</w:t>
            </w:r>
          </w:p>
        </w:tc>
        <w:tc>
          <w:tcPr>
            <w:tcW w:type="dxa" w:w="3408"/>
            <w:vAlign w:val="center"/>
            <w:shd w:fill="D9EAF7"/>
          </w:tcPr>
          <w:p>
            <w:pPr>
              <w:spacing w:after="0"/>
            </w:pPr>
            <w:r/>
            <w:r>
              <w:rPr>
                <w:b/>
                <w:sz w:val="17"/>
              </w:rPr>
              <w:t>Flow component</w:t>
            </w:r>
          </w:p>
        </w:tc>
        <w:tc>
          <w:tcPr>
            <w:tcW w:type="dxa" w:w="3408"/>
            <w:vAlign w:val="center"/>
            <w:shd w:fill="D9EAF7"/>
          </w:tcPr>
          <w:p>
            <w:pPr>
              <w:spacing w:after="0"/>
            </w:pPr>
            <w:r/>
            <w:r>
              <w:rPr>
                <w:b/>
                <w:sz w:val="17"/>
              </w:rPr>
              <w:t>Purpose</w:t>
            </w:r>
          </w:p>
        </w:tc>
      </w:tr>
      <w:tr>
        <w:tc>
          <w:tcPr>
            <w:tcW w:type="dxa" w:w="3408"/>
            <w:vAlign w:val="center"/>
          </w:tcPr>
          <w:p>
            <w:pPr>
              <w:spacing w:after="0"/>
            </w:pPr>
            <w:r/>
            <w:r>
              <w:rPr>
                <w:b w:val="0"/>
                <w:sz w:val="17"/>
              </w:rPr>
              <w:t>1</w:t>
            </w:r>
          </w:p>
        </w:tc>
        <w:tc>
          <w:tcPr>
            <w:tcW w:type="dxa" w:w="3408"/>
            <w:vAlign w:val="center"/>
          </w:tcPr>
          <w:p>
            <w:pPr>
              <w:spacing w:after="0"/>
            </w:pPr>
            <w:r/>
            <w:r>
              <w:rPr>
                <w:b w:val="0"/>
                <w:sz w:val="17"/>
              </w:rPr>
              <w:t>Source code + data pipeline</w:t>
            </w:r>
          </w:p>
        </w:tc>
        <w:tc>
          <w:tcPr>
            <w:tcW w:type="dxa" w:w="3408"/>
            <w:vAlign w:val="center"/>
          </w:tcPr>
          <w:p>
            <w:pPr>
              <w:spacing w:after="0"/>
            </w:pPr>
            <w:r/>
            <w:r>
              <w:rPr>
                <w:b w:val="0"/>
                <w:sz w:val="17"/>
              </w:rPr>
              <w:t>Versioned transformations and training logic</w:t>
            </w:r>
          </w:p>
        </w:tc>
      </w:tr>
      <w:tr>
        <w:tc>
          <w:tcPr>
            <w:tcW w:type="dxa" w:w="3408"/>
            <w:vAlign w:val="center"/>
          </w:tcPr>
          <w:p>
            <w:pPr>
              <w:spacing w:after="0"/>
            </w:pPr>
            <w:r/>
            <w:r>
              <w:rPr>
                <w:b w:val="0"/>
                <w:sz w:val="17"/>
              </w:rPr>
              <w:t>2</w:t>
            </w:r>
          </w:p>
        </w:tc>
        <w:tc>
          <w:tcPr>
            <w:tcW w:type="dxa" w:w="3408"/>
            <w:vAlign w:val="center"/>
          </w:tcPr>
          <w:p>
            <w:pPr>
              <w:spacing w:after="0"/>
            </w:pPr>
            <w:r/>
            <w:r>
              <w:rPr>
                <w:b w:val="0"/>
                <w:sz w:val="17"/>
              </w:rPr>
              <w:t>CI checks + automated tests</w:t>
            </w:r>
          </w:p>
        </w:tc>
        <w:tc>
          <w:tcPr>
            <w:tcW w:type="dxa" w:w="3408"/>
            <w:vAlign w:val="center"/>
          </w:tcPr>
          <w:p>
            <w:pPr>
              <w:spacing w:after="0"/>
            </w:pPr>
            <w:r/>
            <w:r>
              <w:rPr>
                <w:b w:val="0"/>
                <w:sz w:val="17"/>
              </w:rPr>
              <w:t>Validate code, schemas, security and model baseline</w:t>
            </w:r>
          </w:p>
        </w:tc>
      </w:tr>
      <w:tr>
        <w:tc>
          <w:tcPr>
            <w:tcW w:type="dxa" w:w="3408"/>
            <w:vAlign w:val="center"/>
          </w:tcPr>
          <w:p>
            <w:pPr>
              <w:spacing w:after="0"/>
            </w:pPr>
            <w:r/>
            <w:r>
              <w:rPr>
                <w:b w:val="0"/>
                <w:sz w:val="17"/>
              </w:rPr>
              <w:t>3</w:t>
            </w:r>
          </w:p>
        </w:tc>
        <w:tc>
          <w:tcPr>
            <w:tcW w:type="dxa" w:w="3408"/>
            <w:vAlign w:val="center"/>
          </w:tcPr>
          <w:p>
            <w:pPr>
              <w:spacing w:after="0"/>
            </w:pPr>
            <w:r/>
            <w:r>
              <w:rPr>
                <w:b w:val="0"/>
                <w:sz w:val="17"/>
              </w:rPr>
              <w:t>Model registry + container registry</w:t>
            </w:r>
          </w:p>
        </w:tc>
        <w:tc>
          <w:tcPr>
            <w:tcW w:type="dxa" w:w="3408"/>
            <w:vAlign w:val="center"/>
          </w:tcPr>
          <w:p>
            <w:pPr>
              <w:spacing w:after="0"/>
            </w:pPr>
            <w:r/>
            <w:r>
              <w:rPr>
                <w:b w:val="0"/>
                <w:sz w:val="17"/>
              </w:rPr>
              <w:t>Store approved model and immutable runtime image</w:t>
            </w:r>
          </w:p>
        </w:tc>
      </w:tr>
      <w:tr>
        <w:tc>
          <w:tcPr>
            <w:tcW w:type="dxa" w:w="3408"/>
            <w:vAlign w:val="center"/>
          </w:tcPr>
          <w:p>
            <w:pPr>
              <w:spacing w:after="0"/>
            </w:pPr>
            <w:r/>
            <w:r>
              <w:rPr>
                <w:b w:val="0"/>
                <w:sz w:val="17"/>
              </w:rPr>
              <w:t>4</w:t>
            </w:r>
          </w:p>
        </w:tc>
        <w:tc>
          <w:tcPr>
            <w:tcW w:type="dxa" w:w="3408"/>
            <w:vAlign w:val="center"/>
          </w:tcPr>
          <w:p>
            <w:pPr>
              <w:spacing w:after="0"/>
            </w:pPr>
            <w:r/>
            <w:r>
              <w:rPr>
                <w:b w:val="0"/>
                <w:sz w:val="17"/>
              </w:rPr>
              <w:t>Staging environment</w:t>
            </w:r>
          </w:p>
        </w:tc>
        <w:tc>
          <w:tcPr>
            <w:tcW w:type="dxa" w:w="3408"/>
            <w:vAlign w:val="center"/>
          </w:tcPr>
          <w:p>
            <w:pPr>
              <w:spacing w:after="0"/>
            </w:pPr>
            <w:r/>
            <w:r>
              <w:rPr>
                <w:b w:val="0"/>
                <w:sz w:val="17"/>
              </w:rPr>
              <w:t>Integration, load and business acceptance tests</w:t>
            </w:r>
          </w:p>
        </w:tc>
      </w:tr>
      <w:tr>
        <w:tc>
          <w:tcPr>
            <w:tcW w:type="dxa" w:w="3408"/>
            <w:vAlign w:val="center"/>
          </w:tcPr>
          <w:p>
            <w:pPr>
              <w:spacing w:after="0"/>
            </w:pPr>
            <w:r/>
            <w:r>
              <w:rPr>
                <w:b w:val="0"/>
                <w:sz w:val="17"/>
              </w:rPr>
              <w:t>5</w:t>
            </w:r>
          </w:p>
        </w:tc>
        <w:tc>
          <w:tcPr>
            <w:tcW w:type="dxa" w:w="3408"/>
            <w:vAlign w:val="center"/>
          </w:tcPr>
          <w:p>
            <w:pPr>
              <w:spacing w:after="0"/>
            </w:pPr>
            <w:r/>
            <w:r>
              <w:rPr>
                <w:b w:val="0"/>
                <w:sz w:val="17"/>
              </w:rPr>
              <w:t>Production batch job or prediction API</w:t>
            </w:r>
          </w:p>
        </w:tc>
        <w:tc>
          <w:tcPr>
            <w:tcW w:type="dxa" w:w="3408"/>
            <w:vAlign w:val="center"/>
          </w:tcPr>
          <w:p>
            <w:pPr>
              <w:spacing w:after="0"/>
            </w:pPr>
            <w:r/>
            <w:r>
              <w:rPr>
                <w:b w:val="0"/>
                <w:sz w:val="17"/>
              </w:rPr>
              <w:t>Generate controlled predictions for retail systems</w:t>
            </w:r>
          </w:p>
        </w:tc>
      </w:tr>
      <w:tr>
        <w:tc>
          <w:tcPr>
            <w:tcW w:type="dxa" w:w="3408"/>
            <w:vAlign w:val="center"/>
          </w:tcPr>
          <w:p>
            <w:pPr>
              <w:spacing w:after="0"/>
            </w:pPr>
            <w:r/>
            <w:r>
              <w:rPr>
                <w:b w:val="0"/>
                <w:sz w:val="17"/>
              </w:rPr>
              <w:t>6</w:t>
            </w:r>
          </w:p>
        </w:tc>
        <w:tc>
          <w:tcPr>
            <w:tcW w:type="dxa" w:w="3408"/>
            <w:vAlign w:val="center"/>
          </w:tcPr>
          <w:p>
            <w:pPr>
              <w:spacing w:after="0"/>
            </w:pPr>
            <w:r/>
            <w:r>
              <w:rPr>
                <w:b w:val="0"/>
                <w:sz w:val="17"/>
              </w:rPr>
              <w:t>Logs, metrics and data-quality checks</w:t>
            </w:r>
          </w:p>
        </w:tc>
        <w:tc>
          <w:tcPr>
            <w:tcW w:type="dxa" w:w="3408"/>
            <w:vAlign w:val="center"/>
          </w:tcPr>
          <w:p>
            <w:pPr>
              <w:spacing w:after="0"/>
            </w:pPr>
            <w:r/>
            <w:r>
              <w:rPr>
                <w:b w:val="0"/>
                <w:sz w:val="17"/>
              </w:rPr>
              <w:t>Observe technical health, inputs and outputs</w:t>
            </w:r>
          </w:p>
        </w:tc>
      </w:tr>
      <w:tr>
        <w:tc>
          <w:tcPr>
            <w:tcW w:type="dxa" w:w="3408"/>
            <w:vAlign w:val="center"/>
          </w:tcPr>
          <w:p>
            <w:pPr>
              <w:spacing w:after="0"/>
            </w:pPr>
            <w:r/>
            <w:r>
              <w:rPr>
                <w:b w:val="0"/>
                <w:sz w:val="17"/>
              </w:rPr>
              <w:t>7</w:t>
            </w:r>
          </w:p>
        </w:tc>
        <w:tc>
          <w:tcPr>
            <w:tcW w:type="dxa" w:w="3408"/>
            <w:vAlign w:val="center"/>
          </w:tcPr>
          <w:p>
            <w:pPr>
              <w:spacing w:after="0"/>
            </w:pPr>
            <w:r/>
            <w:r>
              <w:rPr>
                <w:b w:val="0"/>
                <w:sz w:val="17"/>
              </w:rPr>
              <w:t>Alerts + dashboards + scheduled reports</w:t>
            </w:r>
          </w:p>
        </w:tc>
        <w:tc>
          <w:tcPr>
            <w:tcW w:type="dxa" w:w="3408"/>
            <w:vAlign w:val="center"/>
          </w:tcPr>
          <w:p>
            <w:pPr>
              <w:spacing w:after="0"/>
            </w:pPr>
            <w:r/>
            <w:r>
              <w:rPr>
                <w:b w:val="0"/>
                <w:sz w:val="17"/>
              </w:rPr>
              <w:t>Notify owners and support business decisions</w:t>
            </w:r>
          </w:p>
        </w:tc>
      </w:tr>
      <w:tr>
        <w:tc>
          <w:tcPr>
            <w:tcW w:type="dxa" w:w="3408"/>
            <w:vAlign w:val="center"/>
          </w:tcPr>
          <w:p>
            <w:pPr>
              <w:spacing w:after="0"/>
            </w:pPr>
            <w:r/>
            <w:r>
              <w:rPr>
                <w:b w:val="0"/>
                <w:sz w:val="17"/>
              </w:rPr>
              <w:t>8</w:t>
            </w:r>
          </w:p>
        </w:tc>
        <w:tc>
          <w:tcPr>
            <w:tcW w:type="dxa" w:w="3408"/>
            <w:vAlign w:val="center"/>
          </w:tcPr>
          <w:p>
            <w:pPr>
              <w:spacing w:after="0"/>
            </w:pPr>
            <w:r/>
            <w:r>
              <w:rPr>
                <w:b w:val="0"/>
                <w:sz w:val="17"/>
              </w:rPr>
              <w:t>Review, retrain, promote or rollback</w:t>
            </w:r>
          </w:p>
        </w:tc>
        <w:tc>
          <w:tcPr>
            <w:tcW w:type="dxa" w:w="3408"/>
            <w:vAlign w:val="center"/>
          </w:tcPr>
          <w:p>
            <w:pPr>
              <w:spacing w:after="0"/>
            </w:pPr>
            <w:r/>
            <w:r>
              <w:rPr>
                <w:b w:val="0"/>
                <w:sz w:val="17"/>
              </w:rPr>
              <w:t>Continuous improvement with controlled change</w:t>
            </w:r>
          </w:p>
        </w:tc>
      </w:tr>
    </w:tbl>
    <w:p/>
    <w:p>
      <w:r>
        <w:t>Text flowchart: Source control and data → CI/CD tests → model approval and versioning → container build and scan → staging validation → controlled production release → logs/metrics/data checks → alerts and dashboards → review and retraining decision → tested release or rollback. Monitoring is continuous after deployment, not a final one-time step.</w:t>
      </w:r>
    </w:p>
    <w:p>
      <w:pPr>
        <w:pStyle w:val="Heading1"/>
      </w:pPr>
      <w:r>
        <w:t>6. Monitoring Protocols</w:t>
      </w:r>
    </w:p>
    <w:p>
      <w:r>
        <w:t>Monitoring should cover four layers. Infrastructure monitoring tracks CPU, memory, storage, queue depth, availability, latency, timeouts and error rates. Pipeline and data monitoring checks freshness, row counts, schema changes, missing values, duplicate keys, out-of-range values and delayed upstream feeds. Model monitoring tracks prediction distributions, confidence or score distributions, feature drift, calibration and predictive performance once ground-truth outcomes arrive. Business monitoring measures downstream results such as conversion, churn, forecast error, campaign profitability and stock availability. Use a baseline window and alert thresholds agreed with owners; a single drift signal should usually trigger investigation, not automatic retraining. For delayed labels, distinguish leading indicators from confirmed performance. Log model version, feature version, timestamp, request/job identifier and outcome status while minimising personal data in logs. Dashboards should display trends, thresholds, annotations for releases and links to runbooks so teams can diagnose issues quickly.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7"/>
              </w:rPr>
              <w:t>Layer</w:t>
            </w:r>
          </w:p>
        </w:tc>
        <w:tc>
          <w:tcPr>
            <w:tcW w:type="dxa" w:w="3408"/>
            <w:vAlign w:val="center"/>
            <w:shd w:fill="D9EAF7"/>
          </w:tcPr>
          <w:p>
            <w:pPr>
              <w:spacing w:after="0"/>
            </w:pPr>
            <w:r/>
            <w:r>
              <w:rPr>
                <w:b/>
                <w:sz w:val="17"/>
              </w:rPr>
              <w:t>Metrics / checks</w:t>
            </w:r>
          </w:p>
        </w:tc>
        <w:tc>
          <w:tcPr>
            <w:tcW w:type="dxa" w:w="3408"/>
            <w:vAlign w:val="center"/>
            <w:shd w:fill="D9EAF7"/>
          </w:tcPr>
          <w:p>
            <w:pPr>
              <w:spacing w:after="0"/>
            </w:pPr>
            <w:r/>
            <w:r>
              <w:rPr>
                <w:b/>
                <w:sz w:val="17"/>
              </w:rPr>
              <w:t>Example response</w:t>
            </w:r>
          </w:p>
        </w:tc>
      </w:tr>
      <w:tr>
        <w:tc>
          <w:tcPr>
            <w:tcW w:type="dxa" w:w="3408"/>
            <w:vAlign w:val="center"/>
          </w:tcPr>
          <w:p>
            <w:pPr>
              <w:spacing w:after="0"/>
            </w:pPr>
            <w:r/>
            <w:r>
              <w:rPr>
                <w:b w:val="0"/>
                <w:sz w:val="17"/>
              </w:rPr>
              <w:t>Service</w:t>
            </w:r>
          </w:p>
        </w:tc>
        <w:tc>
          <w:tcPr>
            <w:tcW w:type="dxa" w:w="3408"/>
            <w:vAlign w:val="center"/>
          </w:tcPr>
          <w:p>
            <w:pPr>
              <w:spacing w:after="0"/>
            </w:pPr>
            <w:r/>
            <w:r>
              <w:rPr>
                <w:b w:val="0"/>
                <w:sz w:val="17"/>
              </w:rPr>
              <w:t>Availability, p95 latency, 5xx rate, failed jobs</w:t>
            </w:r>
          </w:p>
        </w:tc>
        <w:tc>
          <w:tcPr>
            <w:tcW w:type="dxa" w:w="3408"/>
            <w:vAlign w:val="center"/>
          </w:tcPr>
          <w:p>
            <w:pPr>
              <w:spacing w:after="0"/>
            </w:pPr>
            <w:r/>
            <w:r>
              <w:rPr>
                <w:b w:val="0"/>
                <w:sz w:val="17"/>
              </w:rPr>
              <w:t>Scale, restart, rollback or route to fallback</w:t>
            </w:r>
          </w:p>
        </w:tc>
      </w:tr>
      <w:tr>
        <w:tc>
          <w:tcPr>
            <w:tcW w:type="dxa" w:w="3408"/>
            <w:vAlign w:val="center"/>
          </w:tcPr>
          <w:p>
            <w:pPr>
              <w:spacing w:after="0"/>
            </w:pPr>
            <w:r/>
            <w:r>
              <w:rPr>
                <w:b w:val="0"/>
                <w:sz w:val="17"/>
              </w:rPr>
              <w:t>Data</w:t>
            </w:r>
          </w:p>
        </w:tc>
        <w:tc>
          <w:tcPr>
            <w:tcW w:type="dxa" w:w="3408"/>
            <w:vAlign w:val="center"/>
          </w:tcPr>
          <w:p>
            <w:pPr>
              <w:spacing w:after="0"/>
            </w:pPr>
            <w:r/>
            <w:r>
              <w:rPr>
                <w:b w:val="0"/>
                <w:sz w:val="17"/>
              </w:rPr>
              <w:t>Freshness, null rate, schema, volume anomalies</w:t>
            </w:r>
          </w:p>
        </w:tc>
        <w:tc>
          <w:tcPr>
            <w:tcW w:type="dxa" w:w="3408"/>
            <w:vAlign w:val="center"/>
          </w:tcPr>
          <w:p>
            <w:pPr>
              <w:spacing w:after="0"/>
            </w:pPr>
            <w:r/>
            <w:r>
              <w:rPr>
                <w:b w:val="0"/>
                <w:sz w:val="17"/>
              </w:rPr>
              <w:t>Pause scoring; alert data owner; use last valid snapshot if approved</w:t>
            </w:r>
          </w:p>
        </w:tc>
      </w:tr>
      <w:tr>
        <w:tc>
          <w:tcPr>
            <w:tcW w:type="dxa" w:w="3408"/>
            <w:vAlign w:val="center"/>
          </w:tcPr>
          <w:p>
            <w:pPr>
              <w:spacing w:after="0"/>
            </w:pPr>
            <w:r/>
            <w:r>
              <w:rPr>
                <w:b w:val="0"/>
                <w:sz w:val="17"/>
              </w:rPr>
              <w:t>Model</w:t>
            </w:r>
          </w:p>
        </w:tc>
        <w:tc>
          <w:tcPr>
            <w:tcW w:type="dxa" w:w="3408"/>
            <w:vAlign w:val="center"/>
          </w:tcPr>
          <w:p>
            <w:pPr>
              <w:spacing w:after="0"/>
            </w:pPr>
            <w:r/>
            <w:r>
              <w:rPr>
                <w:b w:val="0"/>
                <w:sz w:val="17"/>
              </w:rPr>
              <w:t>PR-AUC/recall, MAE/WAPE, calibration, drift</w:t>
            </w:r>
          </w:p>
        </w:tc>
        <w:tc>
          <w:tcPr>
            <w:tcW w:type="dxa" w:w="3408"/>
            <w:vAlign w:val="center"/>
          </w:tcPr>
          <w:p>
            <w:pPr>
              <w:spacing w:after="0"/>
            </w:pPr>
            <w:r/>
            <w:r>
              <w:rPr>
                <w:b w:val="0"/>
                <w:sz w:val="17"/>
              </w:rPr>
              <w:t>Investigate; compare segment-level errors; evaluate retraining</w:t>
            </w:r>
          </w:p>
        </w:tc>
      </w:tr>
      <w:tr>
        <w:tc>
          <w:tcPr>
            <w:tcW w:type="dxa" w:w="3408"/>
            <w:vAlign w:val="center"/>
          </w:tcPr>
          <w:p>
            <w:pPr>
              <w:spacing w:after="0"/>
            </w:pPr>
            <w:r/>
            <w:r>
              <w:rPr>
                <w:b w:val="0"/>
                <w:sz w:val="17"/>
              </w:rPr>
              <w:t>Business</w:t>
            </w:r>
          </w:p>
        </w:tc>
        <w:tc>
          <w:tcPr>
            <w:tcW w:type="dxa" w:w="3408"/>
            <w:vAlign w:val="center"/>
          </w:tcPr>
          <w:p>
            <w:pPr>
              <w:spacing w:after="0"/>
            </w:pPr>
            <w:r/>
            <w:r>
              <w:rPr>
                <w:b w:val="0"/>
                <w:sz w:val="17"/>
              </w:rPr>
              <w:t>Conversion, retention, margin, stockouts</w:t>
            </w:r>
          </w:p>
        </w:tc>
        <w:tc>
          <w:tcPr>
            <w:tcW w:type="dxa" w:w="3408"/>
            <w:vAlign w:val="center"/>
          </w:tcPr>
          <w:p>
            <w:pPr>
              <w:spacing w:after="0"/>
            </w:pPr>
            <w:r/>
            <w:r>
              <w:rPr>
                <w:b w:val="0"/>
                <w:sz w:val="17"/>
              </w:rPr>
              <w:t>Review campaign rules, inventory or operating process</w:t>
            </w:r>
          </w:p>
        </w:tc>
      </w:tr>
    </w:tbl>
    <w:p/>
    <w:p>
      <w:pPr>
        <w:pStyle w:val="Heading1"/>
      </w:pPr>
      <w:r>
        <w:t>7. Alerts, Incident Handling and Error Recovery</w:t>
      </w:r>
    </w:p>
    <w:p>
      <w:r>
        <w:t>Alerts should be actionable, routed to an owner and tied to severity. Critical alerts are appropriate when the prediction service is unavailable, a scheduled job misses a business deadline, invalid outputs are being published, or a security boundary may have been breached. Warning alerts can cover gradual drift, increasing latency or deteriorating forecast error. Avoid alert fatigue by grouping repeated events, adding cooldown periods in the alerting platform, and defining clear thresholds and escalation paths. Each alert should state what failed, when it started, the affected model/version and business workflow, the evidence available, and the runbook link. Error handling should include input validation, bounded retries for transient failures, idempotent batch jobs, dead-letter handling where queues are used, safe timeouts, and a fallback path. A fallback may use the last approved model, a simple baseline forecast or a business rule, but only if that behaviour has been tested and approved. Preserve audit logs, record incident timelines, communicate impact and complete a post-incident review with preventive actions.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7"/>
              </w:rPr>
              <w:t>Severity</w:t>
            </w:r>
          </w:p>
        </w:tc>
        <w:tc>
          <w:tcPr>
            <w:tcW w:type="dxa" w:w="3408"/>
            <w:vAlign w:val="center"/>
            <w:shd w:fill="D9EAF7"/>
          </w:tcPr>
          <w:p>
            <w:pPr>
              <w:spacing w:after="0"/>
            </w:pPr>
            <w:r/>
            <w:r>
              <w:rPr>
                <w:b/>
                <w:sz w:val="17"/>
              </w:rPr>
              <w:t>Example trigger</w:t>
            </w:r>
          </w:p>
        </w:tc>
        <w:tc>
          <w:tcPr>
            <w:tcW w:type="dxa" w:w="3408"/>
            <w:vAlign w:val="center"/>
            <w:shd w:fill="D9EAF7"/>
          </w:tcPr>
          <w:p>
            <w:pPr>
              <w:spacing w:after="0"/>
            </w:pPr>
            <w:r/>
            <w:r>
              <w:rPr>
                <w:b/>
                <w:sz w:val="17"/>
              </w:rPr>
              <w:t>Response</w:t>
            </w:r>
          </w:p>
        </w:tc>
      </w:tr>
      <w:tr>
        <w:tc>
          <w:tcPr>
            <w:tcW w:type="dxa" w:w="3408"/>
            <w:vAlign w:val="center"/>
          </w:tcPr>
          <w:p>
            <w:pPr>
              <w:spacing w:after="0"/>
            </w:pPr>
            <w:r/>
            <w:r>
              <w:rPr>
                <w:b w:val="0"/>
                <w:sz w:val="17"/>
              </w:rPr>
              <w:t>Critical</w:t>
            </w:r>
          </w:p>
        </w:tc>
        <w:tc>
          <w:tcPr>
            <w:tcW w:type="dxa" w:w="3408"/>
            <w:vAlign w:val="center"/>
          </w:tcPr>
          <w:p>
            <w:pPr>
              <w:spacing w:after="0"/>
            </w:pPr>
            <w:r/>
            <w:r>
              <w:rPr>
                <w:b w:val="0"/>
                <w:sz w:val="17"/>
              </w:rPr>
              <w:t>Service down; corrupted predictions; security incident</w:t>
            </w:r>
          </w:p>
        </w:tc>
        <w:tc>
          <w:tcPr>
            <w:tcW w:type="dxa" w:w="3408"/>
            <w:vAlign w:val="center"/>
          </w:tcPr>
          <w:p>
            <w:pPr>
              <w:spacing w:after="0"/>
            </w:pPr>
            <w:r/>
            <w:r>
              <w:rPr>
                <w:b w:val="0"/>
                <w:sz w:val="17"/>
              </w:rPr>
              <w:t>Page on-call; stop/rollback affected release; notify owner</w:t>
            </w:r>
          </w:p>
        </w:tc>
      </w:tr>
      <w:tr>
        <w:tc>
          <w:tcPr>
            <w:tcW w:type="dxa" w:w="3408"/>
            <w:vAlign w:val="center"/>
          </w:tcPr>
          <w:p>
            <w:pPr>
              <w:spacing w:after="0"/>
            </w:pPr>
            <w:r/>
            <w:r>
              <w:rPr>
                <w:b w:val="0"/>
                <w:sz w:val="17"/>
              </w:rPr>
              <w:t>High</w:t>
            </w:r>
          </w:p>
        </w:tc>
        <w:tc>
          <w:tcPr>
            <w:tcW w:type="dxa" w:w="3408"/>
            <w:vAlign w:val="center"/>
          </w:tcPr>
          <w:p>
            <w:pPr>
              <w:spacing w:after="0"/>
            </w:pPr>
            <w:r/>
            <w:r>
              <w:rPr>
                <w:b w:val="0"/>
                <w:sz w:val="17"/>
              </w:rPr>
              <w:t>Major data feed late; output validation failure</w:t>
            </w:r>
          </w:p>
        </w:tc>
        <w:tc>
          <w:tcPr>
            <w:tcW w:type="dxa" w:w="3408"/>
            <w:vAlign w:val="center"/>
          </w:tcPr>
          <w:p>
            <w:pPr>
              <w:spacing w:after="0"/>
            </w:pPr>
            <w:r/>
            <w:r>
              <w:rPr>
                <w:b w:val="0"/>
                <w:sz w:val="17"/>
              </w:rPr>
              <w:t>Pause publication; investigate source; run approved fallback</w:t>
            </w:r>
          </w:p>
        </w:tc>
      </w:tr>
      <w:tr>
        <w:tc>
          <w:tcPr>
            <w:tcW w:type="dxa" w:w="3408"/>
            <w:vAlign w:val="center"/>
          </w:tcPr>
          <w:p>
            <w:pPr>
              <w:spacing w:after="0"/>
            </w:pPr>
            <w:r/>
            <w:r>
              <w:rPr>
                <w:b w:val="0"/>
                <w:sz w:val="17"/>
              </w:rPr>
              <w:t>Medium</w:t>
            </w:r>
          </w:p>
        </w:tc>
        <w:tc>
          <w:tcPr>
            <w:tcW w:type="dxa" w:w="3408"/>
            <w:vAlign w:val="center"/>
          </w:tcPr>
          <w:p>
            <w:pPr>
              <w:spacing w:after="0"/>
            </w:pPr>
            <w:r/>
            <w:r>
              <w:rPr>
                <w:b w:val="0"/>
                <w:sz w:val="17"/>
              </w:rPr>
              <w:t>Drift warning; gradual error increase</w:t>
            </w:r>
          </w:p>
        </w:tc>
        <w:tc>
          <w:tcPr>
            <w:tcW w:type="dxa" w:w="3408"/>
            <w:vAlign w:val="center"/>
          </w:tcPr>
          <w:p>
            <w:pPr>
              <w:spacing w:after="0"/>
            </w:pPr>
            <w:r/>
            <w:r>
              <w:rPr>
                <w:b w:val="0"/>
                <w:sz w:val="17"/>
              </w:rPr>
              <w:t>Open investigation; compare cohorts and recent changes</w:t>
            </w:r>
          </w:p>
        </w:tc>
      </w:tr>
      <w:tr>
        <w:tc>
          <w:tcPr>
            <w:tcW w:type="dxa" w:w="3408"/>
            <w:vAlign w:val="center"/>
          </w:tcPr>
          <w:p>
            <w:pPr>
              <w:spacing w:after="0"/>
            </w:pPr>
            <w:r/>
            <w:r>
              <w:rPr>
                <w:b w:val="0"/>
                <w:sz w:val="17"/>
              </w:rPr>
              <w:t>Low</w:t>
            </w:r>
          </w:p>
        </w:tc>
        <w:tc>
          <w:tcPr>
            <w:tcW w:type="dxa" w:w="3408"/>
            <w:vAlign w:val="center"/>
          </w:tcPr>
          <w:p>
            <w:pPr>
              <w:spacing w:after="0"/>
            </w:pPr>
            <w:r/>
            <w:r>
              <w:rPr>
                <w:b w:val="0"/>
                <w:sz w:val="17"/>
              </w:rPr>
              <w:t>Routine report or capacity warning</w:t>
            </w:r>
          </w:p>
        </w:tc>
        <w:tc>
          <w:tcPr>
            <w:tcW w:type="dxa" w:w="3408"/>
            <w:vAlign w:val="center"/>
          </w:tcPr>
          <w:p>
            <w:pPr>
              <w:spacing w:after="0"/>
            </w:pPr>
            <w:r/>
            <w:r>
              <w:rPr>
                <w:b w:val="0"/>
                <w:sz w:val="17"/>
              </w:rPr>
              <w:t>Track in dashboard/backlog and review at regular cadence</w:t>
            </w:r>
          </w:p>
        </w:tc>
      </w:tr>
    </w:tbl>
    <w:p/>
    <w:p>
      <w:pPr>
        <w:pStyle w:val="Heading1"/>
      </w:pPr>
      <w:r>
        <w:t>8. Retraining and Model Lifecycle Management</w:t>
      </w:r>
    </w:p>
    <w:p>
      <w:r>
        <w:t>Retraining should be governed by a documented policy combining calendar-based review and evidence-based triggers. A monthly or quarterly review may be appropriate for stable use cases, while fast-changing retail categories may need more frequent checks. Potential triggers include sustained performance deterioration, significant feature or prediction drift, changes in product assortment or customer behaviour, new data sources, and a scheduled review date. Drift alone does not prove that a model has become inaccurate, so confirm it with available labels, business context and validation. Retraining should use a defined time window, reproducible feature pipeline, temporal validation, comparison with the current champion and review of segment-level performance. Do not automatically promote every newly trained model. Require approval, version registration, testing and a rollout plan. Maintain a champion model and a candidate challenger, document the reason for each promotion, and retain a rollback path. Record training data period, code commit, parameters, metrics, limitations and approver so that results can be reproduced.</w:t>
      </w:r>
    </w:p>
    <w:p>
      <w:pPr>
        <w:pStyle w:val="Heading1"/>
      </w:pPr>
      <w:r>
        <w:t>9. Automated Reporting and Retail KPI Dashboard</w:t>
      </w:r>
    </w:p>
    <w:p>
      <w:r>
        <w:t>The reporting layer should connect model performance to retail decisions. A data pipeline can aggregate daily operational metrics and weekly or monthly business KPIs into a reporting table. A dashboard tool such as Power BI, Tableau, Looker or an open-source alternative can present trends, filters and drill-downs by store, region, product category, channel and customer segment, subject to access permissions. A scheduled reporting job can query validated tables, calculate metrics, refresh dashboard datasets and distribute a summary to authorised stakeholders. Reports should show the reporting window, data freshness, model version, metric definitions, comparison period, exceptions and caveats. Avoid exposing customer-level personal information in broad reports. Include both leading indicators (data freshness, drift, model latency) and lagging indicators (realised retention, conversion and profit) so the business can distinguish system health from actual value. Where interventions are involved, use controlled experiments or holdout groups to estimate incremental impact rather than attributing all changes to the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7"/>
              </w:rPr>
              <w:t>KPI</w:t>
            </w:r>
          </w:p>
        </w:tc>
        <w:tc>
          <w:tcPr>
            <w:tcW w:type="dxa" w:w="3408"/>
            <w:vAlign w:val="center"/>
            <w:shd w:fill="D9EAF7"/>
          </w:tcPr>
          <w:p>
            <w:pPr>
              <w:spacing w:after="0"/>
            </w:pPr>
            <w:r/>
            <w:r>
              <w:rPr>
                <w:b/>
                <w:sz w:val="17"/>
              </w:rPr>
              <w:t>Definition / view</w:t>
            </w:r>
          </w:p>
        </w:tc>
        <w:tc>
          <w:tcPr>
            <w:tcW w:type="dxa" w:w="3408"/>
            <w:vAlign w:val="center"/>
            <w:shd w:fill="D9EAF7"/>
          </w:tcPr>
          <w:p>
            <w:pPr>
              <w:spacing w:after="0"/>
            </w:pPr>
            <w:r/>
            <w:r>
              <w:rPr>
                <w:b/>
                <w:sz w:val="17"/>
              </w:rPr>
              <w:t>Suggested cadence</w:t>
            </w:r>
          </w:p>
        </w:tc>
      </w:tr>
      <w:tr>
        <w:tc>
          <w:tcPr>
            <w:tcW w:type="dxa" w:w="3408"/>
            <w:vAlign w:val="center"/>
          </w:tcPr>
          <w:p>
            <w:pPr>
              <w:spacing w:after="0"/>
            </w:pPr>
            <w:r/>
            <w:r>
              <w:rPr>
                <w:b w:val="0"/>
                <w:sz w:val="17"/>
              </w:rPr>
              <w:t>Forecast error</w:t>
            </w:r>
          </w:p>
        </w:tc>
        <w:tc>
          <w:tcPr>
            <w:tcW w:type="dxa" w:w="3408"/>
            <w:vAlign w:val="center"/>
          </w:tcPr>
          <w:p>
            <w:pPr>
              <w:spacing w:after="0"/>
            </w:pPr>
            <w:r/>
            <w:r>
              <w:rPr>
                <w:b w:val="0"/>
                <w:sz w:val="17"/>
              </w:rPr>
              <w:t>MAE/WAPE by category and horizon</w:t>
            </w:r>
          </w:p>
        </w:tc>
        <w:tc>
          <w:tcPr>
            <w:tcW w:type="dxa" w:w="3408"/>
            <w:vAlign w:val="center"/>
          </w:tcPr>
          <w:p>
            <w:pPr>
              <w:spacing w:after="0"/>
            </w:pPr>
            <w:r/>
            <w:r>
              <w:rPr>
                <w:b w:val="0"/>
                <w:sz w:val="17"/>
              </w:rPr>
              <w:t>Weekly</w:t>
            </w:r>
          </w:p>
        </w:tc>
      </w:tr>
      <w:tr>
        <w:tc>
          <w:tcPr>
            <w:tcW w:type="dxa" w:w="3408"/>
            <w:vAlign w:val="center"/>
          </w:tcPr>
          <w:p>
            <w:pPr>
              <w:spacing w:after="0"/>
            </w:pPr>
            <w:r/>
            <w:r>
              <w:rPr>
                <w:b w:val="0"/>
                <w:sz w:val="17"/>
              </w:rPr>
              <w:t>Churn intervention</w:t>
            </w:r>
          </w:p>
        </w:tc>
        <w:tc>
          <w:tcPr>
            <w:tcW w:type="dxa" w:w="3408"/>
            <w:vAlign w:val="center"/>
          </w:tcPr>
          <w:p>
            <w:pPr>
              <w:spacing w:after="0"/>
            </w:pPr>
            <w:r/>
            <w:r>
              <w:rPr>
                <w:b w:val="0"/>
                <w:sz w:val="17"/>
              </w:rPr>
              <w:t>Retention and incremental lift vs holdout</w:t>
            </w:r>
          </w:p>
        </w:tc>
        <w:tc>
          <w:tcPr>
            <w:tcW w:type="dxa" w:w="3408"/>
            <w:vAlign w:val="center"/>
          </w:tcPr>
          <w:p>
            <w:pPr>
              <w:spacing w:after="0"/>
            </w:pPr>
            <w:r/>
            <w:r>
              <w:rPr>
                <w:b w:val="0"/>
                <w:sz w:val="17"/>
              </w:rPr>
              <w:t>Monthly / after outcome window</w:t>
            </w:r>
          </w:p>
        </w:tc>
      </w:tr>
      <w:tr>
        <w:tc>
          <w:tcPr>
            <w:tcW w:type="dxa" w:w="3408"/>
            <w:vAlign w:val="center"/>
          </w:tcPr>
          <w:p>
            <w:pPr>
              <w:spacing w:after="0"/>
            </w:pPr>
            <w:r/>
            <w:r>
              <w:rPr>
                <w:b w:val="0"/>
                <w:sz w:val="17"/>
              </w:rPr>
              <w:t>Campaign performance</w:t>
            </w:r>
          </w:p>
        </w:tc>
        <w:tc>
          <w:tcPr>
            <w:tcW w:type="dxa" w:w="3408"/>
            <w:vAlign w:val="center"/>
          </w:tcPr>
          <w:p>
            <w:pPr>
              <w:spacing w:after="0"/>
            </w:pPr>
            <w:r/>
            <w:r>
              <w:rPr>
                <w:b w:val="0"/>
                <w:sz w:val="17"/>
              </w:rPr>
              <w:t>Conversion, revenue, net margin, opt-out rate</w:t>
            </w:r>
          </w:p>
        </w:tc>
        <w:tc>
          <w:tcPr>
            <w:tcW w:type="dxa" w:w="3408"/>
            <w:vAlign w:val="center"/>
          </w:tcPr>
          <w:p>
            <w:pPr>
              <w:spacing w:after="0"/>
            </w:pPr>
            <w:r/>
            <w:r>
              <w:rPr>
                <w:b w:val="0"/>
                <w:sz w:val="17"/>
              </w:rPr>
              <w:t>Daily operational; weekly review</w:t>
            </w:r>
          </w:p>
        </w:tc>
      </w:tr>
      <w:tr>
        <w:tc>
          <w:tcPr>
            <w:tcW w:type="dxa" w:w="3408"/>
            <w:vAlign w:val="center"/>
          </w:tcPr>
          <w:p>
            <w:pPr>
              <w:spacing w:after="0"/>
            </w:pPr>
            <w:r/>
            <w:r>
              <w:rPr>
                <w:b w:val="0"/>
                <w:sz w:val="17"/>
              </w:rPr>
              <w:t>Inventory operations</w:t>
            </w:r>
          </w:p>
        </w:tc>
        <w:tc>
          <w:tcPr>
            <w:tcW w:type="dxa" w:w="3408"/>
            <w:vAlign w:val="center"/>
          </w:tcPr>
          <w:p>
            <w:pPr>
              <w:spacing w:after="0"/>
            </w:pPr>
            <w:r/>
            <w:r>
              <w:rPr>
                <w:b w:val="0"/>
                <w:sz w:val="17"/>
              </w:rPr>
              <w:t>Stockout rate, availability, excess inventory</w:t>
            </w:r>
          </w:p>
        </w:tc>
        <w:tc>
          <w:tcPr>
            <w:tcW w:type="dxa" w:w="3408"/>
            <w:vAlign w:val="center"/>
          </w:tcPr>
          <w:p>
            <w:pPr>
              <w:spacing w:after="0"/>
            </w:pPr>
            <w:r/>
            <w:r>
              <w:rPr>
                <w:b w:val="0"/>
                <w:sz w:val="17"/>
              </w:rPr>
              <w:t>Daily / weekly</w:t>
            </w:r>
          </w:p>
        </w:tc>
      </w:tr>
      <w:tr>
        <w:tc>
          <w:tcPr>
            <w:tcW w:type="dxa" w:w="3408"/>
            <w:vAlign w:val="center"/>
          </w:tcPr>
          <w:p>
            <w:pPr>
              <w:spacing w:after="0"/>
            </w:pPr>
            <w:r/>
            <w:r>
              <w:rPr>
                <w:b w:val="0"/>
                <w:sz w:val="17"/>
              </w:rPr>
              <w:t>Model health</w:t>
            </w:r>
          </w:p>
        </w:tc>
        <w:tc>
          <w:tcPr>
            <w:tcW w:type="dxa" w:w="3408"/>
            <w:vAlign w:val="center"/>
          </w:tcPr>
          <w:p>
            <w:pPr>
              <w:spacing w:after="0"/>
            </w:pPr>
            <w:r/>
            <w:r>
              <w:rPr>
                <w:b w:val="0"/>
                <w:sz w:val="17"/>
              </w:rPr>
              <w:t>Drift, calibration, prediction distribution, latency</w:t>
            </w:r>
          </w:p>
        </w:tc>
        <w:tc>
          <w:tcPr>
            <w:tcW w:type="dxa" w:w="3408"/>
            <w:vAlign w:val="center"/>
          </w:tcPr>
          <w:p>
            <w:pPr>
              <w:spacing w:after="0"/>
            </w:pPr>
            <w:r/>
            <w:r>
              <w:rPr>
                <w:b w:val="0"/>
                <w:sz w:val="17"/>
              </w:rPr>
              <w:t>Continuous dashboard; weekly review</w:t>
            </w:r>
          </w:p>
        </w:tc>
      </w:tr>
      <w:tr>
        <w:tc>
          <w:tcPr>
            <w:tcW w:type="dxa" w:w="3408"/>
            <w:vAlign w:val="center"/>
          </w:tcPr>
          <w:p>
            <w:pPr>
              <w:spacing w:after="0"/>
            </w:pPr>
            <w:r/>
            <w:r>
              <w:rPr>
                <w:b w:val="0"/>
                <w:sz w:val="17"/>
              </w:rPr>
              <w:t>Data pipeline health</w:t>
            </w:r>
          </w:p>
        </w:tc>
        <w:tc>
          <w:tcPr>
            <w:tcW w:type="dxa" w:w="3408"/>
            <w:vAlign w:val="center"/>
          </w:tcPr>
          <w:p>
            <w:pPr>
              <w:spacing w:after="0"/>
            </w:pPr>
            <w:r/>
            <w:r>
              <w:rPr>
                <w:b w:val="0"/>
                <w:sz w:val="17"/>
              </w:rPr>
              <w:t>Freshness, failed jobs, missingness and schema errors</w:t>
            </w:r>
          </w:p>
        </w:tc>
        <w:tc>
          <w:tcPr>
            <w:tcW w:type="dxa" w:w="3408"/>
            <w:vAlign w:val="center"/>
          </w:tcPr>
          <w:p>
            <w:pPr>
              <w:spacing w:after="0"/>
            </w:pPr>
            <w:r/>
            <w:r>
              <w:rPr>
                <w:b w:val="0"/>
                <w:sz w:val="17"/>
              </w:rPr>
              <w:t>Per run / daily summary</w:t>
            </w:r>
          </w:p>
        </w:tc>
      </w:tr>
    </w:tbl>
    <w:p/>
    <w:p>
      <w:pPr>
        <w:pStyle w:val="Heading1"/>
      </w:pPr>
      <w:r>
        <w:t>10. Security, Privacy and Governance</w:t>
      </w:r>
    </w:p>
    <w:p>
      <w:r>
        <w:t>Retail data may contain personal and commercially sensitive information. Apply least-privilege access, separate development and production credentials, use a secrets manager, encrypt data in transit and at rest, and define retention and deletion policies. Prefer pseudonymous customer identifiers and avoid putting raw customer details into application logs or alerts. Review access to dashboards and reports, maintain audit trails for model and data changes, and document consent and permitted purposes for marketing use. Container images and dependencies should be scanned and patched under an agreed process. Define ownership for model risk, incident response, data quality and business outcomes. Keep documentation accessible to the people who operate the system, including architecture, model card, data contract, deployment checklist, runbooks, known limitations and rollback instructions. Governance should be proportionate to the impact of the use case and aligned with applicable organisational policies and laws.</w:t>
      </w:r>
    </w:p>
    <w:p>
      <w:pPr>
        <w:pStyle w:val="Heading1"/>
      </w:pPr>
      <w:r>
        <w:t>11. Scalability, Cost and Operational Trade-offs</w:t>
      </w:r>
    </w:p>
    <w:p>
      <w:r>
        <w:t>Scale should be planned from measured traffic and data volumes. Batch jobs can process large customer populations economically when results are needed periodically, while APIs support low-latency decisions but require capacity planning, autoscaling and availability controls. Use queueing or asynchronous processing for work that need not complete in the request path. Apply pagination or chunked processing for large datasets, profile expensive feature calculations, and consider feature reuse to avoid repeated joins. Set resource requests and limits, monitor utilisation, and use cost dashboards to identify inefficient jobs. A more complex architecture is justified only when it meets a real requirement; a small retailer may prefer a scheduled Python job and managed database, whereas a high-volume retailer may need a feature store, orchestrator and horizontally scaled inference service. Document expected peak load, recovery objectives, data retention, dependency failure behaviour and estimated operating cost before choosing a design.</w:t>
      </w:r>
    </w:p>
    <w:p>
      <w:pPr>
        <w:pStyle w:val="Heading1"/>
      </w:pPr>
      <w:r>
        <w:t>12.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sz w:val="17"/>
              </w:rPr>
              <w:t>Stage</w:t>
            </w:r>
          </w:p>
        </w:tc>
        <w:tc>
          <w:tcPr>
            <w:tcW w:type="dxa" w:w="3408"/>
            <w:vAlign w:val="center"/>
            <w:shd w:fill="D9EAF7"/>
          </w:tcPr>
          <w:p>
            <w:pPr>
              <w:spacing w:after="0"/>
            </w:pPr>
            <w:r/>
            <w:r>
              <w:rPr>
                <w:b/>
                <w:sz w:val="17"/>
              </w:rPr>
              <w:t>Deliverable</w:t>
            </w:r>
          </w:p>
        </w:tc>
        <w:tc>
          <w:tcPr>
            <w:tcW w:type="dxa" w:w="3408"/>
            <w:vAlign w:val="center"/>
            <w:shd w:fill="D9EAF7"/>
          </w:tcPr>
          <w:p>
            <w:pPr>
              <w:spacing w:after="0"/>
            </w:pPr>
            <w:r/>
            <w:r>
              <w:rPr>
                <w:b/>
                <w:sz w:val="17"/>
              </w:rPr>
              <w:t>Completion criteria</w:t>
            </w:r>
          </w:p>
        </w:tc>
      </w:tr>
      <w:tr>
        <w:tc>
          <w:tcPr>
            <w:tcW w:type="dxa" w:w="3408"/>
            <w:vAlign w:val="center"/>
          </w:tcPr>
          <w:p>
            <w:pPr>
              <w:spacing w:after="0"/>
            </w:pPr>
            <w:r/>
            <w:r>
              <w:rPr>
                <w:b w:val="0"/>
                <w:sz w:val="17"/>
              </w:rPr>
              <w:t>Week A: Define</w:t>
            </w:r>
          </w:p>
        </w:tc>
        <w:tc>
          <w:tcPr>
            <w:tcW w:type="dxa" w:w="3408"/>
            <w:vAlign w:val="center"/>
          </w:tcPr>
          <w:p>
            <w:pPr>
              <w:spacing w:after="0"/>
            </w:pPr>
            <w:r/>
            <w:r>
              <w:rPr>
                <w:b w:val="0"/>
                <w:sz w:val="17"/>
              </w:rPr>
              <w:t>Use case, KPI baseline, SLOs, data contract, model card</w:t>
            </w:r>
          </w:p>
        </w:tc>
        <w:tc>
          <w:tcPr>
            <w:tcW w:type="dxa" w:w="3408"/>
            <w:vAlign w:val="center"/>
          </w:tcPr>
          <w:p>
            <w:pPr>
              <w:spacing w:after="0"/>
            </w:pPr>
            <w:r/>
            <w:r>
              <w:rPr>
                <w:b w:val="0"/>
                <w:sz w:val="17"/>
              </w:rPr>
              <w:t>Owners and acceptance criteria approved</w:t>
            </w:r>
          </w:p>
        </w:tc>
      </w:tr>
      <w:tr>
        <w:tc>
          <w:tcPr>
            <w:tcW w:type="dxa" w:w="3408"/>
            <w:vAlign w:val="center"/>
          </w:tcPr>
          <w:p>
            <w:pPr>
              <w:spacing w:after="0"/>
            </w:pPr>
            <w:r/>
            <w:r>
              <w:rPr>
                <w:b w:val="0"/>
                <w:sz w:val="17"/>
              </w:rPr>
              <w:t>Week B: Build</w:t>
            </w:r>
          </w:p>
        </w:tc>
        <w:tc>
          <w:tcPr>
            <w:tcW w:type="dxa" w:w="3408"/>
            <w:vAlign w:val="center"/>
          </w:tcPr>
          <w:p>
            <w:pPr>
              <w:spacing w:after="0"/>
            </w:pPr>
            <w:r/>
            <w:r>
              <w:rPr>
                <w:b w:val="0"/>
                <w:sz w:val="17"/>
              </w:rPr>
              <w:t>Reproducible training/inference pipeline and tests</w:t>
            </w:r>
          </w:p>
        </w:tc>
        <w:tc>
          <w:tcPr>
            <w:tcW w:type="dxa" w:w="3408"/>
            <w:vAlign w:val="center"/>
          </w:tcPr>
          <w:p>
            <w:pPr>
              <w:spacing w:after="0"/>
            </w:pPr>
            <w:r/>
            <w:r>
              <w:rPr>
                <w:b w:val="0"/>
                <w:sz w:val="17"/>
              </w:rPr>
              <w:t>Repeatable build; data checks pass</w:t>
            </w:r>
          </w:p>
        </w:tc>
      </w:tr>
      <w:tr>
        <w:tc>
          <w:tcPr>
            <w:tcW w:type="dxa" w:w="3408"/>
            <w:vAlign w:val="center"/>
          </w:tcPr>
          <w:p>
            <w:pPr>
              <w:spacing w:after="0"/>
            </w:pPr>
            <w:r/>
            <w:r>
              <w:rPr>
                <w:b w:val="0"/>
                <w:sz w:val="17"/>
              </w:rPr>
              <w:t>Week C: Package</w:t>
            </w:r>
          </w:p>
        </w:tc>
        <w:tc>
          <w:tcPr>
            <w:tcW w:type="dxa" w:w="3408"/>
            <w:vAlign w:val="center"/>
          </w:tcPr>
          <w:p>
            <w:pPr>
              <w:spacing w:after="0"/>
            </w:pPr>
            <w:r/>
            <w:r>
              <w:rPr>
                <w:b w:val="0"/>
                <w:sz w:val="17"/>
              </w:rPr>
              <w:t>Container image, registry, CI/CD and staging</w:t>
            </w:r>
          </w:p>
        </w:tc>
        <w:tc>
          <w:tcPr>
            <w:tcW w:type="dxa" w:w="3408"/>
            <w:vAlign w:val="center"/>
          </w:tcPr>
          <w:p>
            <w:pPr>
              <w:spacing w:after="0"/>
            </w:pPr>
            <w:r/>
            <w:r>
              <w:rPr>
                <w:b w:val="0"/>
                <w:sz w:val="17"/>
              </w:rPr>
              <w:t>Image scan and integration tests pass</w:t>
            </w:r>
          </w:p>
        </w:tc>
      </w:tr>
      <w:tr>
        <w:tc>
          <w:tcPr>
            <w:tcW w:type="dxa" w:w="3408"/>
            <w:vAlign w:val="center"/>
          </w:tcPr>
          <w:p>
            <w:pPr>
              <w:spacing w:after="0"/>
            </w:pPr>
            <w:r/>
            <w:r>
              <w:rPr>
                <w:b w:val="0"/>
                <w:sz w:val="17"/>
              </w:rPr>
              <w:t>Week D: Release</w:t>
            </w:r>
          </w:p>
        </w:tc>
        <w:tc>
          <w:tcPr>
            <w:tcW w:type="dxa" w:w="3408"/>
            <w:vAlign w:val="center"/>
          </w:tcPr>
          <w:p>
            <w:pPr>
              <w:spacing w:after="0"/>
            </w:pPr>
            <w:r/>
            <w:r>
              <w:rPr>
                <w:b w:val="0"/>
                <w:sz w:val="17"/>
              </w:rPr>
              <w:t>Controlled rollout, rollback plan and runbooks</w:t>
            </w:r>
          </w:p>
        </w:tc>
        <w:tc>
          <w:tcPr>
            <w:tcW w:type="dxa" w:w="3408"/>
            <w:vAlign w:val="center"/>
          </w:tcPr>
          <w:p>
            <w:pPr>
              <w:spacing w:after="0"/>
            </w:pPr>
            <w:r/>
            <w:r>
              <w:rPr>
                <w:b w:val="0"/>
                <w:sz w:val="17"/>
              </w:rPr>
              <w:t>Release gates met; owner sign-off</w:t>
            </w:r>
          </w:p>
        </w:tc>
      </w:tr>
      <w:tr>
        <w:tc>
          <w:tcPr>
            <w:tcW w:type="dxa" w:w="3408"/>
            <w:vAlign w:val="center"/>
          </w:tcPr>
          <w:p>
            <w:pPr>
              <w:spacing w:after="0"/>
            </w:pPr>
            <w:r/>
            <w:r>
              <w:rPr>
                <w:b w:val="0"/>
                <w:sz w:val="17"/>
              </w:rPr>
              <w:t>Ongoing</w:t>
            </w:r>
          </w:p>
        </w:tc>
        <w:tc>
          <w:tcPr>
            <w:tcW w:type="dxa" w:w="3408"/>
            <w:vAlign w:val="center"/>
          </w:tcPr>
          <w:p>
            <w:pPr>
              <w:spacing w:after="0"/>
            </w:pPr>
            <w:r/>
            <w:r>
              <w:rPr>
                <w:b w:val="0"/>
                <w:sz w:val="17"/>
              </w:rPr>
              <w:t>Dashboards, alerts, scheduled reports, review cadence</w:t>
            </w:r>
          </w:p>
        </w:tc>
        <w:tc>
          <w:tcPr>
            <w:tcW w:type="dxa" w:w="3408"/>
            <w:vAlign w:val="center"/>
          </w:tcPr>
          <w:p>
            <w:pPr>
              <w:spacing w:after="0"/>
            </w:pPr>
            <w:r/>
            <w:r>
              <w:rPr>
                <w:b w:val="0"/>
                <w:sz w:val="17"/>
              </w:rPr>
              <w:t>Incidents handled; metrics reviewed; changes documented</w:t>
            </w:r>
          </w:p>
        </w:tc>
      </w:tr>
    </w:tbl>
    <w:p/>
    <w:p>
      <w:pPr>
        <w:pStyle w:val="Heading1"/>
      </w:pPr>
      <w:r>
        <w:t>13. Conclusion</w:t>
      </w:r>
    </w:p>
    <w:p>
      <w:r>
        <w:t>A successful retail data science deployment requires more than a model file. It needs a repeatable build process, a suitable runtime, data and service monitoring, actionable alerts, safe recovery, scheduled reporting and an accountable model lifecycle. The proposed framework provides a practical route from development to production for batch and real-time retail use cases. It combines technical measures such as latency, error rates, drift and forecast quality with business outcomes such as incremental retention, conversion, margin and inventory availability. Implementation should begin with a narrowly scoped use case and a baseline, then expand after the pipeline and governance controls are proven. All thresholds and success targets must be calibrated against actual data, operational constraints and business priorities.</w:t>
      </w:r>
    </w:p>
    <w:p>
      <w:pPr>
        <w:pStyle w:val="Heading1"/>
      </w:pPr>
      <w:r>
        <w:t>Submission Checklist</w:t>
      </w:r>
    </w:p>
    <w:p>
      <w:pPr>
        <w:pStyle w:val="ListBullet"/>
      </w:pPr>
      <w:r>
        <w:t>Deployment stages, release gates and rollback are documented.</w:t>
      </w:r>
    </w:p>
    <w:p>
      <w:pPr>
        <w:pStyle w:val="ListBullet"/>
      </w:pPr>
      <w:r>
        <w:t>Containerisation and cloud/on-premise options are compared.</w:t>
      </w:r>
    </w:p>
    <w:p>
      <w:pPr>
        <w:pStyle w:val="ListBullet"/>
      </w:pPr>
      <w:r>
        <w:t>Infrastructure, data, model and business monitoring are covered.</w:t>
      </w:r>
    </w:p>
    <w:p>
      <w:pPr>
        <w:pStyle w:val="ListBullet"/>
      </w:pPr>
      <w:r>
        <w:t>Alerts, incident response, error handling and retraining policy are specified.</w:t>
      </w:r>
    </w:p>
    <w:p>
      <w:pPr>
        <w:pStyle w:val="ListBullet"/>
      </w:pPr>
      <w:r>
        <w:t>Automated reporting, dashboard KPIs, cadence and governance are described.</w:t>
      </w:r>
    </w:p>
    <w:p>
      <w:pPr>
        <w:pStyle w:val="ListBullet"/>
      </w:pPr>
      <w:r>
        <w:t>The report distinguishes proposed strategy from measured production results.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6 | Retail Deployment, Monitoring and Reporting Framework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