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17" w:tblpY="2658"/>
        <w:tblOverlap w:val="never"/>
        <w:tblW w:w="87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20"/>
        <w:gridCol w:w="4092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4" w:hRule="atLeast"/>
        </w:trPr>
        <w:tc>
          <w:tcPr>
            <w:tcW w:w="17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Software</w:t>
            </w:r>
          </w:p>
        </w:tc>
        <w:tc>
          <w:tcPr>
            <w:tcW w:w="409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Details</w:t>
            </w:r>
          </w:p>
        </w:tc>
        <w:tc>
          <w:tcPr>
            <w:tcW w:w="29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54" w:hRule="atLeast"/>
        </w:trPr>
        <w:tc>
          <w:tcPr>
            <w:tcW w:w="17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Power BI desktop</w:t>
            </w:r>
          </w:p>
        </w:tc>
        <w:tc>
          <w:tcPr>
            <w:tcW w:w="4092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Ansi="sans-serif" w:eastAsia="sans-serif" w:cs="sans-serif" w:asciiTheme="minorAscii"/>
                <w:i w:val="0"/>
                <w:caps w:val="0"/>
                <w:color w:val="555555"/>
                <w:spacing w:val="0"/>
                <w:sz w:val="20"/>
                <w:szCs w:val="20"/>
                <w:shd w:val="clear" w:fill="FFFFFF"/>
              </w:rPr>
              <w:t>This offering is free to any single user and includes data cleaning and preparation, custom visualizations and the ability to publish to the Power BI service.</w:t>
            </w:r>
          </w:p>
        </w:tc>
        <w:tc>
          <w:tcPr>
            <w:tcW w:w="2907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92" w:hRule="atLeast"/>
        </w:trPr>
        <w:tc>
          <w:tcPr>
            <w:tcW w:w="17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Power BI pro</w:t>
            </w:r>
          </w:p>
        </w:tc>
        <w:tc>
          <w:tcPr>
            <w:tcW w:w="4092" w:type="dxa"/>
            <w:vAlign w:val="center"/>
          </w:tcPr>
          <w:p>
            <w:pPr>
              <w:jc w:val="center"/>
              <w:rPr>
                <w:rFonts w:asciiTheme="minorAscii"/>
                <w:sz w:val="20"/>
                <w:szCs w:val="20"/>
                <w:vertAlign w:val="baseline"/>
              </w:rPr>
            </w:pPr>
            <w:r>
              <w:rPr>
                <w:rFonts w:hAnsi="sans-serif" w:eastAsia="sans-serif" w:cs="sans-serif" w:asciiTheme="minorAscii"/>
                <w:i w:val="0"/>
                <w:caps w:val="0"/>
                <w:color w:val="555555"/>
                <w:spacing w:val="0"/>
                <w:sz w:val="20"/>
                <w:szCs w:val="20"/>
                <w:shd w:val="clear" w:fill="FFFFFF"/>
              </w:rPr>
              <w:t>It includes data collaboration, data governance, building dashboards with a 360-degree real-time view and the ability to publish reports anywhere. Users can try it a free trial for 60 days before purchasing the subscription.</w:t>
            </w:r>
          </w:p>
        </w:tc>
        <w:tc>
          <w:tcPr>
            <w:tcW w:w="2907" w:type="dxa"/>
            <w:vAlign w:val="center"/>
          </w:tcPr>
          <w:p>
            <w:pPr>
              <w:jc w:val="center"/>
              <w:rPr>
                <w:rFonts w:asciiTheme="minorAscii"/>
                <w:sz w:val="20"/>
                <w:szCs w:val="20"/>
                <w:vertAlign w:val="baseline"/>
              </w:rPr>
            </w:pPr>
            <w:r>
              <w:rPr>
                <w:rFonts w:hAnsi="sans-serif" w:eastAsia="sans-serif" w:cs="sans-serif" w:asciiTheme="minorAscii"/>
                <w:i w:val="0"/>
                <w:caps w:val="0"/>
                <w:color w:val="555555"/>
                <w:spacing w:val="0"/>
                <w:sz w:val="20"/>
                <w:szCs w:val="20"/>
                <w:shd w:val="clear" w:fill="FFFFFF"/>
              </w:rPr>
              <w:t>$9.99/user/month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92" w:hRule="atLeast"/>
        </w:trPr>
        <w:tc>
          <w:tcPr>
            <w:tcW w:w="172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Power BI premium</w:t>
            </w:r>
          </w:p>
        </w:tc>
        <w:tc>
          <w:tcPr>
            <w:tcW w:w="4092" w:type="dxa"/>
            <w:vAlign w:val="center"/>
          </w:tcPr>
          <w:p>
            <w:pPr>
              <w:jc w:val="center"/>
              <w:rPr>
                <w:rFonts w:asciiTheme="minorAscii"/>
                <w:sz w:val="20"/>
                <w:szCs w:val="20"/>
                <w:vertAlign w:val="baseline"/>
              </w:rPr>
            </w:pPr>
            <w:r>
              <w:rPr>
                <w:rFonts w:hAnsi="sans-serif" w:eastAsia="sans-serif" w:cs="sans-serif" w:asciiTheme="minorAscii"/>
                <w:i w:val="0"/>
                <w:caps w:val="0"/>
                <w:color w:val="555555"/>
                <w:spacing w:val="0"/>
                <w:sz w:val="20"/>
                <w:szCs w:val="20"/>
                <w:shd w:val="clear" w:fill="FFFFFF"/>
              </w:rPr>
              <w:t>The Premium plan</w:t>
            </w:r>
            <w:r>
              <w:rPr>
                <w:rFonts w:hint="default" w:hAnsi="sans-serif" w:eastAsia="sans-serif" w:cs="sans-serif" w:asciiTheme="minorAscii"/>
                <w:i w:val="0"/>
                <w:caps w:val="0"/>
                <w:color w:val="555555"/>
                <w:spacing w:val="0"/>
                <w:sz w:val="20"/>
                <w:szCs w:val="20"/>
                <w:shd w:val="clear" w:fill="FFFFFF"/>
                <w:lang w:val="en-US"/>
              </w:rPr>
              <w:t xml:space="preserve"> has</w:t>
            </w:r>
            <w:r>
              <w:rPr>
                <w:rFonts w:hAnsi="sans-serif" w:eastAsia="sans-serif" w:cs="sans-serif" w:asciiTheme="minorAscii"/>
                <w:i w:val="0"/>
                <w:caps w:val="0"/>
                <w:color w:val="555555"/>
                <w:spacing w:val="0"/>
                <w:sz w:val="20"/>
                <w:szCs w:val="20"/>
                <w:shd w:val="clear" w:fill="FFFFFF"/>
              </w:rPr>
              <w:t xml:space="preserve"> dedicated cloud compute and storage resource.</w:t>
            </w:r>
          </w:p>
        </w:tc>
        <w:tc>
          <w:tcPr>
            <w:tcW w:w="2907" w:type="dxa"/>
            <w:vAlign w:val="center"/>
          </w:tcPr>
          <w:p>
            <w:pPr>
              <w:jc w:val="center"/>
              <w:rPr>
                <w:rFonts w:asciiTheme="minorAscii"/>
                <w:sz w:val="20"/>
                <w:szCs w:val="20"/>
                <w:vertAlign w:val="baseline"/>
              </w:rPr>
            </w:pPr>
            <w:r>
              <w:rPr>
                <w:rFonts w:hAnsi="sans-serif" w:eastAsia="sans-serif" w:cs="sans-serif" w:asciiTheme="minorAscii"/>
                <w:i w:val="0"/>
                <w:caps w:val="0"/>
                <w:color w:val="555555"/>
                <w:spacing w:val="0"/>
                <w:sz w:val="20"/>
                <w:szCs w:val="20"/>
                <w:shd w:val="clear" w:fill="FFFFFF"/>
              </w:rPr>
              <w:t>starts at $4,995 a month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>Power BI V</w:t>
      </w:r>
      <w:bookmarkStart w:id="0" w:name="_GoBack"/>
      <w:bookmarkEnd w:id="0"/>
      <w:r>
        <w:rPr>
          <w:rFonts w:hint="default"/>
          <w:lang w:val="en-US"/>
        </w:rPr>
        <w:t>ariants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C2F42"/>
    <w:rsid w:val="6DFC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2020-05-15T20:37:00Z</dcterms:created>
  <dc:creator>Icluster</dc:creator>
  <cp:lastModifiedBy>google1587529513</cp:lastModifiedBy>
  <dcterms:modified xsi:type="dcterms:W3CDTF">2020-05-15T20:46:43Z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