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Marbleshore: UWC – ASCO Integration Design</w:t>
      </w:r>
    </w:p>
    <w:p>
      <w:pPr>
        <w:jc w:val="center"/>
      </w:pPr>
      <w:r>
        <w:rPr>
          <w:color w:val="595959"/>
          <w:sz w:val="28"/>
        </w:rPr>
        <w:t>End-to-End Data Flow, System Architecture &amp; Project Execution Plan</w:t>
      </w:r>
    </w:p>
    <w:p>
      <w:pPr>
        <w:jc w:val="right"/>
      </w:pPr>
      <w:r>
        <w:rPr>
          <w:b/>
        </w:rPr>
        <w:t xml:space="preserve">Date: </w:t>
      </w:r>
      <w:r>
        <w:t>April 2026</w:t>
        <w:br/>
      </w:r>
      <w:r>
        <w:rPr>
          <w:b/>
        </w:rPr>
        <w:t xml:space="preserve">Entity: </w:t>
      </w:r>
      <w:r>
        <w:t>Marbleshore Specialty Insurance Co.</w:t>
      </w:r>
    </w:p>
    <w:p/>
    <w:p>
      <w:pPr>
        <w:pStyle w:val="Heading1"/>
      </w:pPr>
      <w:r>
        <w:t>1. Executive Overview &amp; Objective</w:t>
      </w:r>
    </w:p>
    <w:p>
      <w:r>
        <w:t>As part of the Marbleshore system integration and database consolidation, a comprehensive technical analysis was conducted on the Underwriting Console (UWC) database schema.</w:t>
      </w:r>
    </w:p>
    <w:p>
      <w:r>
        <w:rPr>
          <w:b/>
        </w:rPr>
        <w:t xml:space="preserve">Objective: </w:t>
      </w:r>
      <w:r>
        <w:t>Identify existing underwriting entities and legacy company codes whose data columns are impacted by the new routing and data mapping processes.</w:t>
      </w:r>
    </w:p>
    <w:p>
      <w:pPr>
        <w:pStyle w:val="Heading1"/>
      </w:pPr>
      <w:r>
        <w:t>2. Timelines &amp; Key Activities</w:t>
      </w:r>
    </w:p>
    <w:p>
      <w:r>
        <w:t>The project execution is organized into three core phases:</w:t>
      </w:r>
    </w:p>
    <w:p>
      <w:pPr>
        <w:pStyle w:val="ListBullet"/>
      </w:pPr>
      <w:r>
        <w:rPr>
          <w:b/>
        </w:rPr>
        <w:t>Phase 1: Planning</w:t>
      </w:r>
    </w:p>
    <w:p>
      <w:pPr>
        <w:pStyle w:val="ListBullet"/>
        <w:ind w:left="720"/>
      </w:pPr>
      <w:r>
        <w:t>Scope Identification</w:t>
      </w:r>
    </w:p>
    <w:p>
      <w:pPr>
        <w:pStyle w:val="ListBullet"/>
        <w:ind w:left="720"/>
      </w:pPr>
      <w:r>
        <w:t>Requirements Gathering &amp; Impact Analysis</w:t>
      </w:r>
    </w:p>
    <w:p>
      <w:pPr>
        <w:pStyle w:val="ListBullet"/>
        <w:ind w:left="720"/>
      </w:pPr>
      <w:r>
        <w:t>ETL Design &amp; Approach Sign-Off</w:t>
      </w:r>
    </w:p>
    <w:p>
      <w:pPr>
        <w:pStyle w:val="ListBullet"/>
      </w:pPr>
      <w:r>
        <w:rPr>
          <w:b/>
        </w:rPr>
        <w:t>Phase 2: Design, Build &amp; Testing</w:t>
      </w:r>
    </w:p>
    <w:p>
      <w:pPr>
        <w:pStyle w:val="ListBullet"/>
        <w:ind w:left="720"/>
      </w:pPr>
      <w:r>
        <w:t>Core Development &amp; Unit Testing (UT)</w:t>
      </w:r>
    </w:p>
    <w:p>
      <w:pPr>
        <w:pStyle w:val="ListBullet"/>
        <w:ind w:left="720"/>
      </w:pPr>
      <w:r>
        <w:t>Autosys and SFTP Configuration</w:t>
      </w:r>
    </w:p>
    <w:p>
      <w:pPr>
        <w:pStyle w:val="ListBullet"/>
        <w:ind w:left="720"/>
      </w:pPr>
      <w:r>
        <w:t>QA / In-Sprint Testing</w:t>
      </w:r>
    </w:p>
    <w:p>
      <w:pPr>
        <w:pStyle w:val="ListBullet"/>
        <w:ind w:left="720"/>
      </w:pPr>
      <w:r>
        <w:t>End-to-End (E2E) &amp; User Acceptance Testing (UAT)</w:t>
      </w:r>
    </w:p>
    <w:p>
      <w:pPr>
        <w:pStyle w:val="ListBullet"/>
      </w:pPr>
      <w:r>
        <w:rPr>
          <w:b/>
        </w:rPr>
        <w:t>Phase 3: Release</w:t>
      </w:r>
    </w:p>
    <w:p>
      <w:pPr>
        <w:pStyle w:val="ListBullet"/>
        <w:ind w:left="720"/>
      </w:pPr>
      <w:r>
        <w:t>UAT Sign-Off &amp; Production Migration</w:t>
      </w:r>
    </w:p>
    <w:p>
      <w:pPr>
        <w:pStyle w:val="ListBullet"/>
        <w:ind w:left="720"/>
      </w:pPr>
      <w:r>
        <w:t>Knowledge Transfer (KT) to BAU Team</w:t>
      </w:r>
    </w:p>
    <w:p>
      <w:pPr>
        <w:pStyle w:val="ListBullet"/>
        <w:ind w:left="720"/>
      </w:pPr>
      <w:r>
        <w:t>Post-Go-Live Warranty Support</w:t>
      </w:r>
    </w:p>
    <w:p>
      <w:pPr>
        <w:pStyle w:val="Heading1"/>
      </w:pPr>
      <w:r>
        <w:t>3. Roles &amp; Responsibilities</w:t>
      </w:r>
    </w:p>
    <w:p>
      <w:r>
        <w:t>A clear accountability model has been established across all phases (</w:t>
      </w:r>
      <w:r>
        <w:rPr>
          <w:i/>
        </w:rPr>
        <w:t>R/A = Responsible/Accountable, C = Consulted</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Phase</w:t>
            </w:r>
          </w:p>
        </w:tc>
        <w:tc>
          <w:tcPr>
            <w:tcW w:type="dxa" w:w="1440"/>
            <w:shd w:val="clear" w:color="auto" w:fill="D9D9D9"/>
          </w:tcPr>
          <w:p>
            <w:r>
              <w:rPr>
                <w:b/>
              </w:rPr>
              <w:t>Activity</w:t>
            </w:r>
          </w:p>
        </w:tc>
        <w:tc>
          <w:tcPr>
            <w:tcW w:type="dxa" w:w="1440"/>
            <w:shd w:val="clear" w:color="auto" w:fill="D9D9D9"/>
          </w:tcPr>
          <w:p>
            <w:r>
              <w:rPr>
                <w:b/>
              </w:rPr>
              <w:t>UWC/PCS</w:t>
            </w:r>
          </w:p>
        </w:tc>
        <w:tc>
          <w:tcPr>
            <w:tcW w:type="dxa" w:w="1440"/>
            <w:shd w:val="clear" w:color="auto" w:fill="D9D9D9"/>
          </w:tcPr>
          <w:p>
            <w:r>
              <w:rPr>
                <w:b/>
              </w:rPr>
              <w:t>SRM</w:t>
            </w:r>
          </w:p>
        </w:tc>
        <w:tc>
          <w:tcPr>
            <w:tcW w:type="dxa" w:w="1440"/>
            <w:shd w:val="clear" w:color="auto" w:fill="D9D9D9"/>
          </w:tcPr>
          <w:p>
            <w:r>
              <w:rPr>
                <w:b/>
              </w:rPr>
              <w:t>ASCO</w:t>
            </w:r>
          </w:p>
        </w:tc>
        <w:tc>
          <w:tcPr>
            <w:tcW w:type="dxa" w:w="1440"/>
            <w:shd w:val="clear" w:color="auto" w:fill="D9D9D9"/>
          </w:tcPr>
          <w:p>
            <w:r>
              <w:rPr>
                <w:b/>
              </w:rPr>
              <w:t>Data (EDW)</w:t>
            </w:r>
          </w:p>
        </w:tc>
      </w:tr>
      <w:tr>
        <w:tc>
          <w:tcPr>
            <w:tcW w:type="dxa" w:w="1440"/>
          </w:tcPr>
          <w:p>
            <w:r>
              <w:t>Planning</w:t>
            </w:r>
          </w:p>
        </w:tc>
        <w:tc>
          <w:tcPr>
            <w:tcW w:type="dxa" w:w="1440"/>
          </w:tcPr>
          <w:p>
            <w:r>
              <w:t>Finalize L3 technical design for ETL jobs</w:t>
            </w:r>
          </w:p>
        </w:tc>
        <w:tc>
          <w:tcPr>
            <w:tcW w:type="dxa" w:w="1440"/>
          </w:tcPr>
          <w:p>
            <w:r>
              <w:t>C</w:t>
            </w:r>
          </w:p>
        </w:tc>
        <w:tc>
          <w:tcPr>
            <w:tcW w:type="dxa" w:w="1440"/>
          </w:tcPr>
          <w:p>
            <w:r>
              <w:t>R/A</w:t>
            </w:r>
          </w:p>
        </w:tc>
        <w:tc>
          <w:tcPr>
            <w:tcW w:type="dxa" w:w="1440"/>
          </w:tcPr>
          <w:p>
            <w:r>
              <w:t>C</w:t>
            </w:r>
          </w:p>
        </w:tc>
        <w:tc>
          <w:tcPr>
            <w:tcW w:type="dxa" w:w="1440"/>
          </w:tcPr>
          <w:p>
            <w:r/>
          </w:p>
        </w:tc>
      </w:tr>
      <w:tr>
        <w:tc>
          <w:tcPr>
            <w:tcW w:type="dxa" w:w="1440"/>
          </w:tcPr>
          <w:p>
            <w:r>
              <w:t>Planning</w:t>
            </w:r>
          </w:p>
        </w:tc>
        <w:tc>
          <w:tcPr>
            <w:tcW w:type="dxa" w:w="1440"/>
          </w:tcPr>
          <w:p>
            <w:r>
              <w:t>Define ASCO business requirements</w:t>
            </w:r>
          </w:p>
        </w:tc>
        <w:tc>
          <w:tcPr>
            <w:tcW w:type="dxa" w:w="1440"/>
          </w:tcPr>
          <w:p>
            <w:r/>
          </w:p>
        </w:tc>
        <w:tc>
          <w:tcPr>
            <w:tcW w:type="dxa" w:w="1440"/>
          </w:tcPr>
          <w:p>
            <w:r/>
          </w:p>
        </w:tc>
        <w:tc>
          <w:tcPr>
            <w:tcW w:type="dxa" w:w="1440"/>
          </w:tcPr>
          <w:p>
            <w:r>
              <w:t>R/A</w:t>
            </w:r>
          </w:p>
        </w:tc>
        <w:tc>
          <w:tcPr>
            <w:tcW w:type="dxa" w:w="1440"/>
          </w:tcPr>
          <w:p>
            <w:r/>
          </w:p>
        </w:tc>
      </w:tr>
      <w:tr>
        <w:tc>
          <w:tcPr>
            <w:tcW w:type="dxa" w:w="1440"/>
          </w:tcPr>
          <w:p>
            <w:r>
              <w:t>Planning</w:t>
            </w:r>
          </w:p>
        </w:tc>
        <w:tc>
          <w:tcPr>
            <w:tcW w:type="dxa" w:w="1440"/>
          </w:tcPr>
          <w:p>
            <w:r>
              <w:t>Create test schedule &amp; coordinate approvals</w:t>
            </w:r>
          </w:p>
        </w:tc>
        <w:tc>
          <w:tcPr>
            <w:tcW w:type="dxa" w:w="1440"/>
          </w:tcPr>
          <w:p>
            <w:r>
              <w:t>R/A</w:t>
            </w:r>
          </w:p>
        </w:tc>
        <w:tc>
          <w:tcPr>
            <w:tcW w:type="dxa" w:w="1440"/>
          </w:tcPr>
          <w:p>
            <w:r>
              <w:t>R/A</w:t>
            </w:r>
          </w:p>
        </w:tc>
        <w:tc>
          <w:tcPr>
            <w:tcW w:type="dxa" w:w="1440"/>
          </w:tcPr>
          <w:p>
            <w:r>
              <w:t>R/A</w:t>
            </w:r>
          </w:p>
        </w:tc>
        <w:tc>
          <w:tcPr>
            <w:tcW w:type="dxa" w:w="1440"/>
          </w:tcPr>
          <w:p>
            <w:r/>
          </w:p>
        </w:tc>
      </w:tr>
      <w:tr>
        <w:tc>
          <w:tcPr>
            <w:tcW w:type="dxa" w:w="1440"/>
          </w:tcPr>
          <w:p>
            <w:r>
              <w:t>Development</w:t>
            </w:r>
          </w:p>
        </w:tc>
        <w:tc>
          <w:tcPr>
            <w:tcW w:type="dxa" w:w="1440"/>
          </w:tcPr>
          <w:p>
            <w:r>
              <w:t>Develop UWC database schema changes</w:t>
            </w:r>
          </w:p>
        </w:tc>
        <w:tc>
          <w:tcPr>
            <w:tcW w:type="dxa" w:w="1440"/>
          </w:tcPr>
          <w:p>
            <w:r>
              <w:t>R/A</w:t>
            </w:r>
          </w:p>
        </w:tc>
        <w:tc>
          <w:tcPr>
            <w:tcW w:type="dxa" w:w="1440"/>
          </w:tcPr>
          <w:p>
            <w:r>
              <w:t>C</w:t>
            </w:r>
          </w:p>
        </w:tc>
        <w:tc>
          <w:tcPr>
            <w:tcW w:type="dxa" w:w="1440"/>
          </w:tcPr>
          <w:p>
            <w:r/>
          </w:p>
        </w:tc>
        <w:tc>
          <w:tcPr>
            <w:tcW w:type="dxa" w:w="1440"/>
          </w:tcPr>
          <w:p>
            <w:r/>
          </w:p>
        </w:tc>
      </w:tr>
      <w:tr>
        <w:tc>
          <w:tcPr>
            <w:tcW w:type="dxa" w:w="1440"/>
          </w:tcPr>
          <w:p>
            <w:r>
              <w:t>Development</w:t>
            </w:r>
          </w:p>
        </w:tc>
        <w:tc>
          <w:tcPr>
            <w:tcW w:type="dxa" w:w="1440"/>
          </w:tcPr>
          <w:p>
            <w:r>
              <w:t>Develop ETL jobs (UWC → EDW → ASCO)</w:t>
            </w:r>
          </w:p>
        </w:tc>
        <w:tc>
          <w:tcPr>
            <w:tcW w:type="dxa" w:w="1440"/>
          </w:tcPr>
          <w:p>
            <w:r/>
          </w:p>
        </w:tc>
        <w:tc>
          <w:tcPr>
            <w:tcW w:type="dxa" w:w="1440"/>
          </w:tcPr>
          <w:p>
            <w:r>
              <w:t>R/A</w:t>
            </w:r>
          </w:p>
        </w:tc>
        <w:tc>
          <w:tcPr>
            <w:tcW w:type="dxa" w:w="1440"/>
          </w:tcPr>
          <w:p>
            <w:r>
              <w:t>C</w:t>
            </w:r>
          </w:p>
        </w:tc>
        <w:tc>
          <w:tcPr>
            <w:tcW w:type="dxa" w:w="1440"/>
          </w:tcPr>
          <w:p>
            <w:r/>
          </w:p>
        </w:tc>
      </w:tr>
      <w:tr>
        <w:tc>
          <w:tcPr>
            <w:tcW w:type="dxa" w:w="1440"/>
          </w:tcPr>
          <w:p>
            <w:r>
              <w:t>Testing</w:t>
            </w:r>
          </w:p>
        </w:tc>
        <w:tc>
          <w:tcPr>
            <w:tcW w:type="dxa" w:w="1440"/>
          </w:tcPr>
          <w:p>
            <w:r>
              <w:t>Coordinate E2E / SIT testing</w:t>
            </w:r>
          </w:p>
        </w:tc>
        <w:tc>
          <w:tcPr>
            <w:tcW w:type="dxa" w:w="1440"/>
          </w:tcPr>
          <w:p>
            <w:r>
              <w:t>R/A</w:t>
            </w:r>
          </w:p>
        </w:tc>
        <w:tc>
          <w:tcPr>
            <w:tcW w:type="dxa" w:w="1440"/>
          </w:tcPr>
          <w:p>
            <w:r>
              <w:t>R/A</w:t>
            </w:r>
          </w:p>
        </w:tc>
        <w:tc>
          <w:tcPr>
            <w:tcW w:type="dxa" w:w="1440"/>
          </w:tcPr>
          <w:p>
            <w:r>
              <w:t>R/A</w:t>
            </w:r>
          </w:p>
        </w:tc>
        <w:tc>
          <w:tcPr>
            <w:tcW w:type="dxa" w:w="1440"/>
          </w:tcPr>
          <w:p>
            <w:r/>
          </w:p>
        </w:tc>
      </w:tr>
      <w:tr>
        <w:tc>
          <w:tcPr>
            <w:tcW w:type="dxa" w:w="1440"/>
          </w:tcPr>
          <w:p>
            <w:r>
              <w:t>Testing</w:t>
            </w:r>
          </w:p>
        </w:tc>
        <w:tc>
          <w:tcPr>
            <w:tcW w:type="dxa" w:w="1440"/>
          </w:tcPr>
          <w:p>
            <w:r>
              <w:t>Conduct UAT testing for ASCO data</w:t>
            </w:r>
          </w:p>
        </w:tc>
        <w:tc>
          <w:tcPr>
            <w:tcW w:type="dxa" w:w="1440"/>
          </w:tcPr>
          <w:p>
            <w:r/>
          </w:p>
        </w:tc>
        <w:tc>
          <w:tcPr>
            <w:tcW w:type="dxa" w:w="1440"/>
          </w:tcPr>
          <w:p>
            <w:r/>
          </w:p>
        </w:tc>
        <w:tc>
          <w:tcPr>
            <w:tcW w:type="dxa" w:w="1440"/>
          </w:tcPr>
          <w:p>
            <w:r>
              <w:t>R/A</w:t>
            </w:r>
          </w:p>
        </w:tc>
        <w:tc>
          <w:tcPr>
            <w:tcW w:type="dxa" w:w="1440"/>
          </w:tcPr>
          <w:p>
            <w:r/>
          </w:p>
        </w:tc>
      </w:tr>
      <w:tr>
        <w:tc>
          <w:tcPr>
            <w:tcW w:type="dxa" w:w="1440"/>
          </w:tcPr>
          <w:p>
            <w:r>
              <w:t>Deployment</w:t>
            </w:r>
          </w:p>
        </w:tc>
        <w:tc>
          <w:tcPr>
            <w:tcW w:type="dxa" w:w="1440"/>
          </w:tcPr>
          <w:p>
            <w:r>
              <w:t>Execute production data migration</w:t>
            </w:r>
          </w:p>
        </w:tc>
        <w:tc>
          <w:tcPr>
            <w:tcW w:type="dxa" w:w="1440"/>
          </w:tcPr>
          <w:p>
            <w:r>
              <w:t>R/A</w:t>
            </w:r>
          </w:p>
        </w:tc>
        <w:tc>
          <w:tcPr>
            <w:tcW w:type="dxa" w:w="1440"/>
          </w:tcPr>
          <w:p>
            <w:r>
              <w:t>R/A</w:t>
            </w:r>
          </w:p>
        </w:tc>
        <w:tc>
          <w:tcPr>
            <w:tcW w:type="dxa" w:w="1440"/>
          </w:tcPr>
          <w:p>
            <w:r>
              <w:t>R/A</w:t>
            </w:r>
          </w:p>
        </w:tc>
        <w:tc>
          <w:tcPr>
            <w:tcW w:type="dxa" w:w="1440"/>
          </w:tcPr>
          <w:p>
            <w:r/>
          </w:p>
        </w:tc>
      </w:tr>
      <w:tr>
        <w:tc>
          <w:tcPr>
            <w:tcW w:type="dxa" w:w="1440"/>
          </w:tcPr>
          <w:p>
            <w:r>
              <w:t>Hypercare</w:t>
            </w:r>
          </w:p>
        </w:tc>
        <w:tc>
          <w:tcPr>
            <w:tcW w:type="dxa" w:w="1440"/>
          </w:tcPr>
          <w:p>
            <w:r>
              <w:t>Monitor prod jobs &amp; triage defects</w:t>
            </w:r>
          </w:p>
        </w:tc>
        <w:tc>
          <w:tcPr>
            <w:tcW w:type="dxa" w:w="1440"/>
          </w:tcPr>
          <w:p>
            <w:r>
              <w:t>R/A</w:t>
            </w:r>
          </w:p>
        </w:tc>
        <w:tc>
          <w:tcPr>
            <w:tcW w:type="dxa" w:w="1440"/>
          </w:tcPr>
          <w:p>
            <w:r>
              <w:t>R/A</w:t>
            </w:r>
          </w:p>
        </w:tc>
        <w:tc>
          <w:tcPr>
            <w:tcW w:type="dxa" w:w="1440"/>
          </w:tcPr>
          <w:p>
            <w:r>
              <w:t>R/A</w:t>
            </w:r>
          </w:p>
        </w:tc>
        <w:tc>
          <w:tcPr>
            <w:tcW w:type="dxa" w:w="1440"/>
          </w:tcPr>
          <w:p>
            <w:r/>
          </w:p>
        </w:tc>
      </w:tr>
    </w:tbl>
    <w:p/>
    <w:p>
      <w:pPr>
        <w:pStyle w:val="Heading1"/>
      </w:pPr>
      <w:r>
        <w:t>4. Integration Design: Data Flow Architecture</w:t>
      </w:r>
    </w:p>
    <w:p>
      <w:r>
        <w:t>The end-to-end data flow operates via the following sequence:</w:t>
      </w:r>
    </w:p>
    <w:p>
      <w:pPr>
        <w:pStyle w:val="ListNumber"/>
      </w:pPr>
      <w:r>
        <w:rPr>
          <w:b/>
        </w:rPr>
        <w:t xml:space="preserve">Transaction Capture: </w:t>
      </w:r>
      <w:r>
        <w:t>Daily transactions originate from Duck Creek (WINS/CIP) into the Tactical GDW.</w:t>
      </w:r>
    </w:p>
    <w:p>
      <w:pPr>
        <w:pStyle w:val="ListNumber"/>
      </w:pPr>
      <w:r>
        <w:rPr>
          <w:b/>
        </w:rPr>
        <w:t xml:space="preserve">Inbound Processing: </w:t>
      </w:r>
      <w:r>
        <w:t>Data is converted into inbound files and sent to the SRM Application.</w:t>
      </w:r>
    </w:p>
    <w:p>
      <w:pPr>
        <w:pStyle w:val="ListNumber"/>
      </w:pPr>
      <w:r>
        <w:rPr>
          <w:b/>
        </w:rPr>
        <w:t xml:space="preserve">Storage: </w:t>
      </w:r>
      <w:r>
        <w:t>The SRM App processes and persists the data in the SRM Database.</w:t>
      </w:r>
    </w:p>
    <w:p>
      <w:pPr>
        <w:pStyle w:val="ListNumber"/>
      </w:pPr>
      <w:r>
        <w:rPr>
          <w:b/>
        </w:rPr>
        <w:t xml:space="preserve">Outbound Distribution: </w:t>
      </w:r>
      <w:r>
        <w:t>Outbound files are generated from SRM and distributed to downstream systems (GDW, FPSL, and FSCD).</w:t>
      </w:r>
    </w:p>
    <w:p>
      <w:pPr>
        <w:pStyle w:val="Heading1"/>
      </w:pPr>
      <w:r>
        <w:t>5. Underwriting Columns Impact Analysis &amp; Key Findings</w:t>
      </w:r>
    </w:p>
    <w:p>
      <w:r>
        <w:t>Our extraction and analysis isolated the specific Underwriting Company Codes (</w:t>
      </w:r>
      <w:r>
        <w:rPr>
          <w:rFonts w:ascii="Courier New" w:hAnsi="Courier New"/>
        </w:rPr>
        <w:t>UW_CO_CD</w:t>
      </w:r>
      <w:r>
        <w:t xml:space="preserve"> / </w:t>
      </w:r>
      <w:r>
        <w:rPr>
          <w:rFonts w:ascii="Courier New" w:hAnsi="Courier New"/>
        </w:rPr>
        <w:t>UW_CO_SK</w:t>
      </w:r>
      <w:r>
        <w:t>) impacted within the current architecture.</w:t>
      </w:r>
    </w:p>
    <w:p>
      <w:r>
        <w:rPr>
          <w:b/>
        </w:rPr>
        <w:t>Critical Impacted Entities:</w:t>
      </w:r>
    </w:p>
    <w:p>
      <w:pPr>
        <w:pStyle w:val="ListBullet"/>
      </w:pPr>
      <w:r>
        <w:rPr>
          <w:b/>
        </w:rPr>
        <w:t xml:space="preserve">Code 34: </w:t>
      </w:r>
      <w:r>
        <w:t>AIG Insurance Company of Canada</w:t>
      </w:r>
    </w:p>
    <w:p>
      <w:pPr>
        <w:pStyle w:val="ListBullet"/>
      </w:pPr>
      <w:r>
        <w:rPr>
          <w:b/>
        </w:rPr>
        <w:t xml:space="preserve">Code 32: </w:t>
      </w:r>
      <w:r>
        <w:t>Chartis Insurance Company of Canada</w:t>
      </w:r>
    </w:p>
    <w:p>
      <w:r>
        <w:rPr>
          <w:i/>
        </w:rPr>
        <w:t xml:space="preserve">Action Required: </w:t>
      </w:r>
      <w:r>
        <w:t>These legacy entities must be properly accounted for when establishing new routing logic to ensure zero data disruption for Canadian operations.</w:t>
      </w:r>
    </w:p>
    <w:p>
      <w:r>
        <w:rPr>
          <w:b/>
        </w:rPr>
        <w:t>Business &amp; Technical Impact:</w:t>
      </w:r>
    </w:p>
    <w:p>
      <w:pPr>
        <w:pStyle w:val="ListBullet"/>
      </w:pPr>
      <w:r>
        <w:rPr>
          <w:b/>
        </w:rPr>
        <w:t xml:space="preserve">ETL Transformation Logic: </w:t>
      </w:r>
      <w:r>
        <w:t>DataStage ETL jobs (UWC to EDW extracts) must explicitly handle Codes 34 and 32 so their policies and bordereaux data are not erroneously mapped to the new Marbleshore (ASCO 40) entity.</w:t>
      </w:r>
    </w:p>
    <w:p>
      <w:pPr>
        <w:pStyle w:val="ListBullet"/>
      </w:pPr>
      <w:r>
        <w:rPr>
          <w:b/>
        </w:rPr>
        <w:t xml:space="preserve">Targeted Regression Testing: </w:t>
      </w:r>
      <w:r>
        <w:t>During SIT, QA teams must inject targeted test cases for AIG Canada and Chartis Canada to verify unimpacted existing workflows.</w:t>
      </w:r>
    </w:p>
    <w:p>
      <w:pPr>
        <w:pStyle w:val="ListBullet"/>
      </w:pPr>
      <w:r>
        <w:rPr>
          <w:b/>
        </w:rPr>
        <w:t xml:space="preserve">Downstream Reporting: </w:t>
      </w:r>
      <w:r>
        <w:t>EDW and Reporting teams must ensure historical data tied to these legacy codes remains intact and queryable in the ODS.</w:t>
      </w:r>
    </w:p>
    <w:p>
      <w:pPr>
        <w:pStyle w:val="Heading1"/>
      </w:pPr>
      <w:r>
        <w:t>6. DataStage Job Analysis &amp; Dependency Check</w:t>
      </w:r>
    </w:p>
    <w:p>
      <w:r>
        <w:t xml:space="preserve">To verify impacts, we are analyzing the active status and ETL logic of the following DataStage jobs to determine dependencies on </w:t>
      </w:r>
      <w:r>
        <w:rPr>
          <w:rFonts w:ascii="Courier New" w:hAnsi="Courier New"/>
        </w:rPr>
        <w:t>wins_uw_cd</w:t>
      </w:r>
      <w:r>
        <w:t xml:space="preserve"> or Underwriter Company Code columns (</w:t>
      </w:r>
      <w:r>
        <w:rPr>
          <w:rFonts w:ascii="Courier New" w:hAnsi="Courier New"/>
        </w:rPr>
        <w:t>UW_CO_CD</w:t>
      </w:r>
      <w:r>
        <w:t xml:space="preserve">, </w:t>
      </w:r>
      <w:r>
        <w:rPr>
          <w:rFonts w:ascii="Courier New" w:hAnsi="Courier New"/>
        </w:rPr>
        <w:t>UW_CO_SK</w:t>
      </w:r>
      <w:r>
        <w:t>).</w:t>
      </w:r>
    </w:p>
    <w:p>
      <w:r>
        <w:rPr>
          <w:b/>
        </w:rPr>
        <w:t>Target Jobs for Analysis:</w:t>
        <w:br/>
      </w:r>
      <w:r>
        <w:rPr>
          <w:rFonts w:ascii="Courier New" w:hAnsi="Courier New"/>
          <w:color w:val="C7254E"/>
        </w:rPr>
        <w:t>TQUOTE_AUTO_DRIVER_INFRCTN_PCS</w:t>
      </w:r>
      <w:r>
        <w:t xml:space="preserve">, </w:t>
      </w:r>
      <w:r>
        <w:rPr>
          <w:rFonts w:ascii="Courier New" w:hAnsi="Courier New"/>
          <w:color w:val="C7254E"/>
        </w:rPr>
        <w:t>TREINSURANCE_PREMIUM_ADJ</w:t>
      </w:r>
      <w:r>
        <w:t xml:space="preserve">, </w:t>
      </w:r>
      <w:r>
        <w:rPr>
          <w:rFonts w:ascii="Courier New" w:hAnsi="Courier New"/>
          <w:color w:val="C7254E"/>
        </w:rPr>
        <w:t>TQUOTE_TRANSACTION_DC</w:t>
      </w:r>
      <w:r>
        <w:t xml:space="preserve">, </w:t>
      </w:r>
      <w:r>
        <w:rPr>
          <w:rFonts w:ascii="Courier New" w:hAnsi="Courier New"/>
          <w:color w:val="C7254E"/>
        </w:rPr>
        <w:t>TREINSURANCE_PREMIUM</w:t>
      </w:r>
      <w:r>
        <w:t xml:space="preserve">, </w:t>
      </w:r>
      <w:r>
        <w:rPr>
          <w:rFonts w:ascii="Courier New" w:hAnsi="Courier New"/>
          <w:color w:val="C7254E"/>
        </w:rPr>
        <w:t>TREINSURANCE_CLAIMS_ADJ</w:t>
      </w:r>
      <w:r>
        <w:t xml:space="preserve">, </w:t>
      </w:r>
      <w:r>
        <w:rPr>
          <w:rFonts w:ascii="Courier New" w:hAnsi="Courier New"/>
          <w:color w:val="C7254E"/>
        </w:rPr>
        <w:t>TPOLICY_LEX</w:t>
      </w:r>
      <w:r>
        <w:t xml:space="preserve">, </w:t>
      </w:r>
      <w:r>
        <w:rPr>
          <w:rFonts w:ascii="Courier New" w:hAnsi="Courier New"/>
          <w:color w:val="C7254E"/>
        </w:rPr>
        <w:t>TQUOTE_AUTO_VEHICL_PREFILL_PCS</w:t>
      </w:r>
      <w:r>
        <w:t xml:space="preserve">, </w:t>
      </w:r>
      <w:r>
        <w:rPr>
          <w:rFonts w:ascii="Courier New" w:hAnsi="Courier New"/>
          <w:color w:val="C7254E"/>
        </w:rPr>
        <w:t>STAGEPOLICYUK</w:t>
      </w:r>
      <w:r>
        <w:t xml:space="preserve">, </w:t>
      </w:r>
      <w:r>
        <w:rPr>
          <w:rFonts w:ascii="Courier New" w:hAnsi="Courier New"/>
          <w:color w:val="C7254E"/>
        </w:rPr>
        <w:t>STAGEPOLICYUK_UKGD</w:t>
      </w:r>
      <w:r>
        <w:t xml:space="preserve">, </w:t>
      </w:r>
      <w:r>
        <w:rPr>
          <w:rFonts w:ascii="Courier New" w:hAnsi="Courier New"/>
          <w:color w:val="C7254E"/>
        </w:rPr>
        <w:t>STAGEPOLICYUK14</w:t>
      </w:r>
      <w:r>
        <w:t xml:space="preserve">, </w:t>
      </w:r>
      <w:r>
        <w:rPr>
          <w:rFonts w:ascii="Courier New" w:hAnsi="Courier New"/>
          <w:color w:val="C7254E"/>
        </w:rPr>
        <w:t>STAGEWCPREM_MAIN</w:t>
      </w:r>
      <w:r>
        <w:t xml:space="preserve">, </w:t>
      </w:r>
      <w:r>
        <w:rPr>
          <w:rFonts w:ascii="Courier New" w:hAnsi="Courier New"/>
          <w:color w:val="C7254E"/>
        </w:rPr>
        <w:t>STAGEWCPREM_MAIN_2003</w:t>
      </w:r>
      <w:r>
        <w:t xml:space="preserve">, </w:t>
      </w:r>
      <w:r>
        <w:rPr>
          <w:rFonts w:ascii="Courier New" w:hAnsi="Courier New"/>
          <w:color w:val="C7254E"/>
        </w:rPr>
        <w:t>TQUOTE_AUTOPOLCOVERAGE_PCS</w:t>
      </w:r>
      <w:r>
        <w:t xml:space="preserve">, </w:t>
      </w:r>
      <w:r>
        <w:rPr>
          <w:rFonts w:ascii="Courier New" w:hAnsi="Courier New"/>
          <w:color w:val="C7254E"/>
        </w:rPr>
        <w:t>STAGING_LEXINGTON_PREMIUM_LEX</w:t>
      </w:r>
      <w:r>
        <w:t xml:space="preserve">, </w:t>
      </w:r>
      <w:r>
        <w:rPr>
          <w:rFonts w:ascii="Courier New" w:hAnsi="Courier New"/>
          <w:color w:val="C7254E"/>
        </w:rPr>
        <w:t>STAGING_CLAIMSTRANS_WC_NEW</w:t>
      </w:r>
      <w:r>
        <w:t>.</w:t>
      </w:r>
    </w:p>
    <w:p>
      <w:pPr>
        <w:pStyle w:val="Heading1"/>
      </w:pPr>
      <w:r>
        <w:t>7. Database Synchronization &amp; Identified Issues</w:t>
      </w:r>
    </w:p>
    <w:p>
      <w:pPr>
        <w:pStyle w:val="Heading2"/>
      </w:pPr>
      <w:r>
        <w:t>7.1 TUW_COMPANY Synchronization</w:t>
      </w:r>
    </w:p>
    <w:p>
      <w:r>
        <w:t xml:space="preserve">To ensure data consistency, an </w:t>
      </w:r>
      <w:r>
        <w:rPr>
          <w:rFonts w:ascii="Courier New" w:hAnsi="Courier New"/>
        </w:rPr>
        <w:t>INSERT</w:t>
      </w:r>
      <w:r>
        <w:t xml:space="preserve"> statement was executed on the PCS side to synchronize the master table (</w:t>
      </w:r>
      <w:r>
        <w:rPr>
          <w:rFonts w:ascii="Courier New" w:hAnsi="Courier New"/>
        </w:rPr>
        <w:t>TUW_COMPANY</w:t>
      </w:r>
      <w:r>
        <w:t>).</w:t>
      </w:r>
    </w:p>
    <w:p>
      <w:pPr>
        <w:pStyle w:val="ListBullet"/>
      </w:pPr>
      <w:r>
        <w:rPr>
          <w:b/>
        </w:rPr>
        <w:t xml:space="preserve">Action: </w:t>
      </w:r>
      <w:r>
        <w:t xml:space="preserve">Registers </w:t>
      </w:r>
      <w:r>
        <w:rPr>
          <w:b/>
        </w:rPr>
        <w:t>Marbleshore Spec Ins Company</w:t>
      </w:r>
      <w:r>
        <w:t xml:space="preserve"> into reference data.</w:t>
      </w:r>
    </w:p>
    <w:p>
      <w:pPr>
        <w:pStyle w:val="ListBullet"/>
      </w:pPr>
      <w:r>
        <w:rPr>
          <w:b/>
        </w:rPr>
        <w:t xml:space="preserve">Mappings: </w:t>
      </w:r>
      <w:r>
        <w:rPr>
          <w:rFonts w:ascii="Courier New" w:hAnsi="Courier New"/>
        </w:rPr>
        <w:t>UW_CO_CD</w:t>
      </w:r>
      <w:r>
        <w:t xml:space="preserve"> = </w:t>
      </w:r>
      <w:r>
        <w:rPr>
          <w:b/>
        </w:rPr>
        <w:t>36</w:t>
      </w:r>
      <w:r>
        <w:t xml:space="preserve">, ASCO Number = </w:t>
      </w:r>
      <w:r>
        <w:rPr>
          <w:b/>
        </w:rPr>
        <w:t>40</w:t>
      </w:r>
      <w:r>
        <w:t xml:space="preserve">, GL Code = </w:t>
      </w:r>
      <w:r>
        <w:rPr>
          <w:b/>
        </w:rPr>
        <w:t>3911</w:t>
      </w:r>
      <w:r>
        <w:t>.</w:t>
      </w:r>
    </w:p>
    <w:p>
      <w:pPr>
        <w:ind w:left="720"/>
      </w:pPr>
      <w:r>
        <w:rPr>
          <w:rFonts w:ascii="Courier New" w:hAnsi="Courier New"/>
          <w:sz w:val="18"/>
        </w:rPr>
        <w:t>INSERT INTO tuw_company (</w:t>
        <w:br/>
        <w:t xml:space="preserve">    UW_CO_CD, UW_CO_NM, WINS_UW_CD, WW_CO_CD, UW_CO_CD_1,</w:t>
        <w:br/>
        <w:t xml:space="preserve">    UW_CO_SK, REINSURANCE_CO_CD, TRADING_PARTNER_CD, AS_CO_NO,</w:t>
        <w:br/>
        <w:t xml:space="preserve">    LEGACY_CD_2, GL_CD, POOL_CD, NAIC_CD, CIP_UW_CD,</w:t>
        <w:br/>
        <w:t xml:space="preserve">    TRIGGER_LAST_UPDATE_TS, INSTANDA_UW_NM</w:t>
        <w:br/>
        <w:t>) VALUES (</w:t>
        <w:br/>
        <w:t xml:space="preserve">    36, 'Marbleshore Spec Ins Company', '0040', '00613', 'MSIC',</w:t>
        <w:br/>
        <w:t xml:space="preserve">    36, '3911', '3911', '40', '40', '3911', NULL, 13551, '0040',</w:t>
        <w:br/>
        <w:t xml:space="preserve">    TO_TIMESTAMP('07-APR-26 02.10.35.108092000 PM','DD-MON-RR HH.MI.SSXFF AM'),</w:t>
        <w:br/>
        <w:t xml:space="preserve">    'Marbleshore Spec Ins Company'</w:t>
        <w:br/>
        <w:t>);</w:t>
      </w:r>
    </w:p>
    <w:p>
      <w:pPr>
        <w:pStyle w:val="Heading2"/>
      </w:pPr>
      <w:r>
        <w:t>7.2 Identified Issue: Column Size Constraint</w:t>
      </w:r>
    </w:p>
    <w:p>
      <w:r>
        <w:t xml:space="preserve">During synchronization, an attempt to update the </w:t>
      </w:r>
      <w:r>
        <w:rPr>
          <w:rFonts w:ascii="Courier New" w:hAnsi="Courier New"/>
        </w:rPr>
        <w:t>TRADING_PARTNER_CD</w:t>
      </w:r>
      <w:r>
        <w:t xml:space="preserve"> resulted in an Oracle Database error:</w:t>
      </w:r>
    </w:p>
    <w:p>
      <w:pPr>
        <w:ind w:left="720"/>
      </w:pPr>
      <w:r>
        <w:rPr>
          <w:rFonts w:ascii="Courier New" w:hAnsi="Courier New"/>
          <w:color w:val="C00000"/>
          <w:sz w:val="18"/>
        </w:rPr>
        <w:t>UPDATE tuw_company SET TRADING_PARTNER_CD = 3911 WHERE UW_CO_CD = 36;</w:t>
        <w:br/>
        <w:t>-- ERROR: ORA-12899: value too large for column "MISITG"."TUW_COMPANY"."TRADING_PARTNER_CD" (actual: 4, maximum: 3)</w:t>
      </w:r>
    </w:p>
    <w:p>
      <w:pPr>
        <w:pStyle w:val="ListBullet"/>
      </w:pPr>
      <w:r>
        <w:rPr>
          <w:b/>
        </w:rPr>
        <w:t xml:space="preserve">Analysis: </w:t>
      </w:r>
      <w:r>
        <w:t xml:space="preserve">The </w:t>
      </w:r>
      <w:r>
        <w:rPr>
          <w:rFonts w:ascii="Courier New" w:hAnsi="Courier New"/>
        </w:rPr>
        <w:t>TRADING_PARTNER_CD</w:t>
      </w:r>
      <w:r>
        <w:t xml:space="preserve"> field is mapped to accommodate the value </w:t>
      </w:r>
      <w:r>
        <w:rPr>
          <w:rFonts w:ascii="Courier New" w:hAnsi="Courier New"/>
        </w:rPr>
        <w:t>3911</w:t>
      </w:r>
      <w:r>
        <w:t xml:space="preserve"> (length of 4), but the target database column in the </w:t>
      </w:r>
      <w:r>
        <w:rPr>
          <w:rFonts w:ascii="Courier New" w:hAnsi="Courier New"/>
        </w:rPr>
        <w:t>MISITG</w:t>
      </w:r>
      <w:r>
        <w:t xml:space="preserve"> schema is restricted to a maximum of 3 characters.</w:t>
      </w:r>
    </w:p>
    <w:p>
      <w:pPr>
        <w:pStyle w:val="ListBullet"/>
      </w:pPr>
      <w:r>
        <w:rPr>
          <w:b/>
        </w:rPr>
        <w:t xml:space="preserve">Resolution Required: </w:t>
      </w:r>
      <w:r>
        <w:t xml:space="preserve">The DBA team must expand the column length for </w:t>
      </w:r>
      <w:r>
        <w:rPr>
          <w:rFonts w:ascii="Courier New" w:hAnsi="Courier New"/>
        </w:rPr>
        <w:t>TRADING_PARTNER_CD</w:t>
      </w:r>
      <w:r>
        <w:t xml:space="preserve"> across lower environments and production prior to executing the migration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