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widowControl/>
        <w:spacing w:after="110"/>
      </w:pPr>
      <w:r>
        <w:t xml:space="preserve">Exploratory Data Analysis and Feature Engineering for Cosmetic Safety Complaints</w:t>
      </w:r>
    </w:p>
    <w:p>
      <w:pPr>
        <w:widowControl/>
        <w:spacing w:after="45"/>
      </w:pPr>
      <w:r>
        <w:t xml:space="preserve">Pawan Singh Kapkoti | Data Science with Python Analyst Internship | YuvaIntern</w:t>
      </w:r>
    </w:p>
    <w:p>
      <w:pPr>
        <w:widowControl/>
        <w:spacing w:after="80"/>
      </w:pPr>
      <w:r>
        <w:t xml:space="preserve">Beauty and Wellness | Week 4 | 23 October 2026</w:t>
      </w:r>
    </w:p>
    <w:p>
      <w:pPr>
        <w:pStyle w:val="Heading1"/>
        <w:keepNext/>
        <w:widowControl/>
        <w:spacing w:after="100" w:before="220"/>
      </w:pPr>
      <w:r>
        <w:t xml:space="preserve">1. Summary</w:t>
      </w:r>
    </w:p>
    <w:p>
      <w:pPr>
        <w:widowControl/>
        <w:spacing w:after="100" w:line="253"/>
      </w:pPr>
      <w:r>
        <w:t xml:space="preserve">The analysis covers 23,663,832 preprocessed beauty and personal care reviews.</w:t>
      </w:r>
    </w:p>
    <w:p>
      <w:pPr>
        <w:widowControl/>
        <w:spacing w:after="100" w:line="253"/>
      </w:pPr>
      <w:r>
        <w:t xml:space="preserve">Local safety-word matches occur in 817,313 reviews using the cleaned population and standalone burn vocabulary.</w:t>
      </w:r>
    </w:p>
    <w:p>
      <w:pPr>
        <w:widowControl/>
        <w:spacing w:after="100" w:line="253"/>
      </w:pPr>
      <w:r>
        <w:t xml:space="preserve">Contextual scope leaves 635,145 reviews with at least one unnegated cue.</w:t>
      </w:r>
    </w:p>
    <w:p>
      <w:pPr>
        <w:widowControl/>
        <w:spacing w:after="100" w:line="253"/>
      </w:pPr>
      <w:r>
        <w:t xml:space="preserve">Engineered variables connect wording, ratings, earlier behavior and product context to practical investigation questions.</w:t>
      </w:r>
    </w:p>
    <w:p>
      <w:pPr>
        <w:widowControl/>
        <w:spacing w:after="100" w:line="253"/>
      </w:pPr>
      <w:r>
        <w:t xml:space="preserve">Cue wording varies with rating and product mix, supporting contextual triage while leaving complaint status for human assessment.</w:t>
      </w:r>
    </w:p>
    <w:p>
      <w:pPr>
        <w:pStyle w:val="Heading1"/>
        <w:keepNext/>
        <w:widowControl/>
        <w:spacing w:after="100" w:before="220"/>
      </w:pPr>
      <w:r>
        <w:t xml:space="preserve">2. EDA workflow: basic and advanced techniques for multi-dimensional data</w:t>
      </w:r>
    </w:p>
    <w:p>
      <w:pPr>
        <w:widowControl/>
        <w:spacing w:after="100" w:line="253"/>
      </w:pPr>
      <w:r>
        <w:t xml:space="preserve">Step 1: data quality check. Missing means null or blank after trimming. Rating has 0 missing values (0.00%), title 0 (0.00%), text 44,736 (0.19%) and timestamp 0 (0.00%). Empty bodies remain in rating denominators but supply no body wording. Category has 582,382 missing values (2.46%), exact snapshot price 7,093,166 (29.97%) and store 1,351,299 (5.71%). Category and store comparisons keep missing groups; price-tier comparisons exclude unavailable prices and starting-price strings. Across partitions, 0 excess exact copies remain on reviewer, parent product, normalized title and normalized text, so repeated copies do not inflate rates. Ratings outside one to five number 0, timestamps outside May 1996 inclusive to October 2023 exclusive number 0, and negative helpful votes number 0; these checks support valid rating, time and vote comparisons. Catalogue coverage is 100.00%: every parent product matches a catalogue row, although individual attributes can still be absent.</w:t>
      </w:r>
    </w:p>
    <w:p>
      <w:pPr>
        <w:widowControl/>
        <w:spacing w:after="100" w:line="253"/>
      </w:pPr>
      <w:r>
        <w:t xml:space="preserve">The objective is to uncover interpretable patterns in beauty feedback and propose variables that could improve complaint modeling. The unit of analysis is a retained review, not a person, purchase or adverse event. The source is the Amazon Reviews 2023 Beauty and Personal Care snapshot with its released catalogue. The analytical question is whether wording, rating and available context together can help people find accounts that deserve investigation.</w:t>
      </w:r>
    </w:p>
    <w:p>
      <w:pPr>
        <w:widowControl/>
        <w:spacing w:after="100" w:line="253"/>
      </w:pPr>
      <w:r>
        <w:t xml:space="preserve">Reconcile partition totals with the retained population. Univariate analysis measures rating frequencies, body length and helpful votes without dropping unusual observations. Bivariate analysis compares matched-word proportions across ratings, word groups and main categories. Monthly aggregation separates a changing volume of feedback from a changing share containing cues. Counts use all 240 cleaned partitions, with an explicit denominator attached to each rate.</w:t>
      </w:r>
    </w:p>
    <w:p>
      <w:pPr>
        <w:widowControl/>
        <w:spacing w:after="100" w:line="253"/>
      </w:pPr>
      <w:r>
        <w:t xml:space="preserve">For pairwise calculations, keep a uniform random-priority reservoir of 40,000 reviews with seed 42. For text projection, independently sample 20,000 cue reviews with seed 43. Sampling bounds memory and gives every eligible review equal inclusion probability within its reservoir. The samples remain separate because an enriched cue sample cannot estimate population prevalence. Source text and reviewer identifiers are absent from the saved aggregate outputs.</w:t>
      </w:r>
    </w:p>
    <w:p>
      <w:pPr>
        <w:widowControl/>
        <w:spacing w:after="100" w:line="253"/>
      </w:pPr>
      <w:r>
        <w:t xml:space="preserve">Advanced analysis combines a rank-correlation heatmap, a sparse text projection and feature associations with an explicitly defined screening proxy. These views answer different questions: redundancy, lexical structure and proxy alignment respectively. Move from marginal distributions to conditional comparisons, then inspect possible confounding before suggesting features.</w:t>
      </w:r>
    </w:p>
    <w:p>
      <w:pPr>
        <w:pStyle w:val="Heading1"/>
        <w:keepNext/>
        <w:widowControl/>
        <w:spacing w:after="100" w:before="220"/>
      </w:pPr>
      <w:r>
        <w:t xml:space="preserve">3. Statistical methods</w:t>
      </w:r>
    </w:p>
    <w:p>
      <w:pPr>
        <w:widowControl/>
        <w:spacing w:after="100" w:line="253"/>
      </w:pPr>
      <w:r>
        <w:t xml:space="preserve">A chi-square test asks whether cue presence and star rating are independent in the population contingency table. It suits categorical counts and avoids treating the stars as a continuous clinical scale. The result is chi-square 190786.7 with 4 degrees of freedom, p below 1e-300; the smallest expected cell count is 43586.4. Cramer's V is 0.090, indicating a small relationship despite the extremely small p-value.</w:t>
      </w:r>
    </w:p>
    <w:p>
      <w:pPr>
        <w:widowControl/>
        <w:spacing w:after="100" w:line="253"/>
      </w:pPr>
      <w:r>
        <w:t xml:space="preserve">Mann-Whitney U compares body-length ranks because review lengths are skewed and include a long tail. In the uniform sample, 1,377 cue reviews have median 50 words, versus 38,623 other reviews with median 20. U is 39,674,637, p 4.69e-212; rank-biserial correlation is 0.492. The positive effect means a randomly selected cue review tends to be longer, supporting length as a contextual variable.</w:t>
      </w:r>
    </w:p>
    <w:p>
      <w:pPr>
        <w:widowControl/>
        <w:spacing w:after="100" w:line="253"/>
      </w:pPr>
      <w:r>
        <w:t xml:space="preserve">Wilson score intervals express uncertainty around monthly unnegated-cue proportions, including sparse periods and months with no successes. Empty months retain no estimated rate. The interval describes binomial sampling uncertainty. Inspect both effect sizes and underlying group counts before selecting a modeling variable. Pool calendar-month counts across years to describe seasonality, test month against cue presence with chi-square, and report its effect size alongside significance. Keep category-year cells to distinguish seasonal comparisons from yearly changes in product mix.</w:t>
      </w:r>
    </w:p>
    <w:p>
      <w:pPr>
        <w:widowControl/>
        <w:spacing w:after="100" w:line="253"/>
      </w:pPr>
      <w:r>
        <w:t xml:space="preserve">Spearman correlation compares numeric feature ranks and exposes monotonic dependence without assuming normal data. TruncatedSVD reduces sparse TF-IDF text to a planar view; it is appropriate for a vocabulary much larger than the number of plotted coordinates. Point-biserial correlation compares each numeric or Boolean feature with a binary proxy.</w:t>
      </w:r>
    </w:p>
    <w:p>
      <w:pPr>
        <w:pStyle w:val="Heading1"/>
        <w:keepNext/>
        <w:widowControl/>
        <w:spacing w:after="100" w:before="220"/>
      </w:pPr>
      <w:r>
        <w:t xml:space="preserve">4. Visualization plan and findings</w:t>
      </w:r>
    </w:p>
    <w:p>
      <w:pPr>
        <w:widowControl/>
        <w:spacing w:after="100" w:line="253"/>
      </w:pPr>
      <w:r>
        <w:t xml:space="preserve">Matplotlib supplies labeled bars, weighted histograms, line charts, interval shading and scatter plots. Seaborn renders the annotated correlation heatmap, with a Matplotlib fallback when unavailable; SciPy supplies uncertainty bounds and statistical results. Figures read saved aggregates, so their populations and denominators match the text. Log-transformed count axes retain zero values while making long tails visible.</w:t>
      </w:r>
    </w:p>
    <w:p>
      <w:pPr>
        <w:keepNext/>
        <w:widowControl/>
        <w:spacing w:after="60" w:before="130"/>
      </w:pPr>
      <w:r>
        <w:t xml:space="preserve">Figure 1. Basic review distributions</w:t>
      </w:r>
    </w:p>
    <w:p>
      <w:pPr>
        <w:keepNext/>
        <w:jc w:val="center"/>
      </w:pPr>
      <w:r>
        <w:drawing>
          <wp:inline distT="0" distB="0" distL="0" distR="0">
            <wp:extent cx="5905500" cy="1857375"/>
            <wp:effectExtent t="0" r="0" b="0" l="0"/>
            <wp:docPr id="1" name="univariate.png" descr="Aggregate EDA chart; description and numeric findings follow the figure" title="univari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857375"/>
                    </a:xfrm>
                    <a:prstGeom prst="rect">
                      <a:avLst/>
                    </a:prstGeom>
                  </pic:spPr>
                </pic:pic>
              </a:graphicData>
            </a:graphic>
          </wp:inline>
        </w:drawing>
      </w:r>
    </w:p>
    <w:p>
      <w:pPr>
        <w:keepLines/>
        <w:widowControl/>
        <w:spacing w:after="150" w:line="253"/>
      </w:pPr>
      <w:r>
        <w:t xml:space="preserve">Five-star ratings account for 64.67% of reviews; median body length is 20 words and its ninety-fifth percentile is 108 words. Helpful votes are zero for 73.51% of reviews, while the transformed horizontal axes expose the length and vote tails.</w:t>
      </w:r>
    </w:p>
    <w:p>
      <w:pPr>
        <w:keepNext/>
        <w:widowControl/>
        <w:spacing w:after="60" w:before="130"/>
      </w:pPr>
      <w:r>
        <w:t xml:space="preserve">Figure 2. Rating and negation context</w:t>
      </w:r>
    </w:p>
    <w:p>
      <w:pPr>
        <w:keepNext/>
        <w:jc w:val="center"/>
      </w:pPr>
      <w:r>
        <w:drawing>
          <wp:inline distT="0" distB="0" distL="0" distR="0">
            <wp:extent cx="5905500" cy="2324100"/>
            <wp:effectExtent t="0" r="0" b="0" l="0"/>
            <wp:docPr id="2" name="rating_cues.png" descr="Aggregate EDA chart; description and numeric findings follow the figure" title="rating_cu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24100"/>
                    </a:xfrm>
                    <a:prstGeom prst="rect">
                      <a:avLst/>
                    </a:prstGeom>
                  </pic:spPr>
                </pic:pic>
              </a:graphicData>
            </a:graphic>
          </wp:inline>
        </w:drawing>
      </w:r>
    </w:p>
    <w:p>
      <w:pPr>
        <w:keepLines/>
        <w:widowControl/>
        <w:spacing w:after="150" w:line="253"/>
      </w:pPr>
      <w:r>
        <w:t xml:space="preserve">Among one-star reviews, any-cue and unnegated-cue rates are 7.42% and 7.18%; the corresponding five-star rates are 2.51% and 1.60%. The conditional stacked bars separate negated-only, mixed and unnegated-only accounts, with negated-only wording making up 36.14% of five-star cue reviews.</w:t>
      </w:r>
    </w:p>
    <w:p>
      <w:pPr>
        <w:keepNext/>
        <w:widowControl/>
        <w:spacing w:after="60" w:before="130"/>
      </w:pPr>
      <w:r>
        <w:t xml:space="preserve">Figure 3. Safety-word group rates</w:t>
      </w:r>
    </w:p>
    <w:p>
      <w:pPr>
        <w:keepNext/>
        <w:jc w:val="center"/>
      </w:pPr>
      <w:r>
        <w:drawing>
          <wp:inline distT="0" distB="0" distL="0" distR="0">
            <wp:extent cx="5429250" cy="2647950"/>
            <wp:effectExtent t="0" r="0" b="0" l="0"/>
            <wp:docPr id="3" name="groups.png" descr="Aggregate EDA chart; description and numeric findings follow the figure" title="grou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29250" cy="2647950"/>
                    </a:xfrm>
                    <a:prstGeom prst="rect">
                      <a:avLst/>
                    </a:prstGeom>
                  </pic:spPr>
                </pic:pic>
              </a:graphicData>
            </a:graphic>
          </wp:inline>
        </w:drawing>
      </w:r>
    </w:p>
    <w:p>
      <w:pPr>
        <w:keepLines/>
        <w:widowControl/>
        <w:spacing w:after="150" w:line="253"/>
      </w:pPr>
      <w:r>
        <w:t xml:space="preserve">The largest raw-cue bars are skin reaction at 2.08%, irritation at 0.79% and smell or spoilage at 0.43% of all reviews. Paired bars show unnegated shares using the same denominator; groups overlap and must not be added together.</w:t>
      </w:r>
    </w:p>
    <w:p>
      <w:pPr>
        <w:keepNext/>
        <w:widowControl/>
        <w:spacing w:after="60" w:before="130"/>
      </w:pPr>
      <w:r>
        <w:t xml:space="preserve">Figure 4. Main-category context</w:t>
      </w:r>
    </w:p>
    <w:p>
      <w:pPr>
        <w:keepNext/>
        <w:jc w:val="center"/>
      </w:pPr>
      <w:r>
        <w:drawing>
          <wp:inline distT="0" distB="0" distL="0" distR="0">
            <wp:extent cx="5429250" cy="2647950"/>
            <wp:effectExtent t="0" r="0" b="0" l="0"/>
            <wp:docPr id="4" name="category.png" descr="Aggregate EDA chart; description and numeric findings follow the figure" title="categ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29250" cy="2647950"/>
                    </a:xfrm>
                    <a:prstGeom prst="rect">
                      <a:avLst/>
                    </a:prstGeom>
                  </pic:spPr>
                </pic:pic>
              </a:graphicData>
            </a:graphic>
          </wp:inline>
        </w:drawing>
      </w:r>
    </w:p>
    <w:p>
      <w:pPr>
        <w:keepLines/>
        <w:widowControl/>
        <w:spacing w:after="150" w:line="253"/>
      </w:pPr>
      <w:r>
        <w:t xml:space="preserve">For the largest categories by volume, raw-cue bars show All Beauty 3.56%, Health &amp; Personal Care 3.93%, Premium Beauty 3.81%. Orange bars show the corresponding unnegated shares, while horizontal Wilson intervals quantify uncertainty around raw-cue rates for segment comparisons.</w:t>
      </w:r>
    </w:p>
    <w:p>
      <w:pPr>
        <w:keepNext/>
        <w:widowControl/>
        <w:spacing w:after="60" w:before="130"/>
      </w:pPr>
      <w:r>
        <w:t xml:space="preserve">Figure 5. Monthly volume and uncertainty</w:t>
      </w:r>
    </w:p>
    <w:p>
      <w:pPr>
        <w:keepNext/>
        <w:jc w:val="center"/>
      </w:pPr>
      <w:r>
        <w:drawing>
          <wp:inline distT="0" distB="0" distL="0" distR="0">
            <wp:extent cx="5715000" cy="3457575"/>
            <wp:effectExtent t="0" r="0" b="0" l="0"/>
            <wp:docPr id="5" name="monthly.png" descr="Aggregate EDA chart; description and numeric findings follow the figure" title="month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57575"/>
                    </a:xfrm>
                    <a:prstGeom prst="rect">
                      <a:avLst/>
                    </a:prstGeom>
                  </pic:spPr>
                </pic:pic>
              </a:graphicData>
            </a:graphic>
          </wp:inline>
        </w:drawing>
      </w:r>
    </w:p>
    <w:p>
      <w:pPr>
        <w:keepLines/>
        <w:widowControl/>
        <w:spacing w:after="150" w:line="253"/>
      </w:pPr>
      <w:r>
        <w:t xml:space="preserve">Review volume peaks in 2021-03 at 394,608 reviews. In 2023-09, the unnegated-cue rate is 2.56% with a Wilson interval of 2.09% to 3.13%; broad early intervals reflect sparse denominators. Observation ends on 2023-09-13, so the final month is incomplete and its volume is not comparable with a complete month.</w:t>
      </w:r>
    </w:p>
    <w:p>
      <w:pPr>
        <w:keepNext/>
        <w:widowControl/>
        <w:spacing w:after="60" w:before="130"/>
      </w:pPr>
      <w:r>
        <w:t xml:space="preserve">Figure 6. Numeric feature relationships</w:t>
      </w:r>
    </w:p>
    <w:p>
      <w:pPr>
        <w:keepNext/>
        <w:jc w:val="center"/>
      </w:pPr>
      <w:r>
        <w:drawing>
          <wp:inline distT="0" distB="0" distL="0" distR="0">
            <wp:extent cx="5715000" cy="4533900"/>
            <wp:effectExtent t="0" r="0" b="0" l="0"/>
            <wp:docPr id="6" name="spearman.png" descr="Aggregate EDA chart; description and numeric findings follow the figure" title="spearm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533900"/>
                    </a:xfrm>
                    <a:prstGeom prst="rect">
                      <a:avLst/>
                    </a:prstGeom>
                  </pic:spPr>
                </pic:pic>
              </a:graphicData>
            </a:graphic>
          </wp:inline>
        </w:drawing>
      </w:r>
    </w:p>
    <w:p>
      <w:pPr>
        <w:keepLines/>
        <w:widowControl/>
        <w:spacing w:after="150" w:line="253"/>
      </w:pPr>
      <w:r>
        <w:t xml:space="preserve">The strongest absolute off-diagonal Spearman relationship is between product_age_days and product_prior_count, with coefficient 0.972. The heatmap reveals redundant or mechanically related signals, helping avoid counting the same evidence repeatedly in an explanation.</w:t>
      </w:r>
    </w:p>
    <w:p>
      <w:pPr>
        <w:keepNext/>
        <w:widowControl/>
        <w:spacing w:after="60" w:before="130"/>
      </w:pPr>
      <w:r>
        <w:t xml:space="preserve">Figure 7. Multi-dimensional text projection</w:t>
      </w:r>
    </w:p>
    <w:p>
      <w:pPr>
        <w:keepNext/>
        <w:jc w:val="center"/>
      </w:pPr>
      <w:r>
        <w:drawing>
          <wp:inline distT="0" distB="0" distL="0" distR="0">
            <wp:extent cx="5524500" cy="2905125"/>
            <wp:effectExtent t="0" r="0" b="0" l="0"/>
            <wp:docPr id="7" name="svd.png" descr="Aggregate EDA chart; description and numeric findings follow the figure" title="sv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905125"/>
                    </a:xfrm>
                    <a:prstGeom prst="rect">
                      <a:avLst/>
                    </a:prstGeom>
                  </pic:spPr>
                </pic:pic>
              </a:graphicData>
            </a:graphic>
          </wp:inline>
        </w:drawing>
      </w:r>
    </w:p>
    <w:p>
      <w:pPr>
        <w:keepLines/>
        <w:widowControl/>
        <w:spacing w:after="150" w:line="253"/>
      </w:pPr>
      <w:r>
        <w:t xml:space="preserve">The two SVD components explain 0.50% and 0.62% of TF-IDF variance across a vocabulary of 5,000 terms. Plotted first-component coordinates span 0.031 to 0.436; colors identify the most frequently matched word groups. Together the axes retain only 1.12% of variance, so this is a coarse view of lexical differences and overlap is expected.</w:t>
      </w:r>
    </w:p>
    <w:p>
      <w:pPr>
        <w:widowControl/>
        <w:spacing w:after="100" w:line="253"/>
      </w:pPr>
      <w:r>
        <w:t xml:space="preserve">The eight highest positive loadings among screened generic terms are it, the, and, to, my, this, is, for for the first component, and skin, sensitive, sensitive skin, my skin, face, for sensitive, skin and, my face for the second. A generic-word allowlist excludes possible personal and brand names before ranking; vocabulary terms are not review excerpts. The first component mainly reflects grammatical wording, while the second emphasizes skin sensitivity and facial use. On the same cue sample, full-sample silhouette scores are 2 components: -0.1227; 50 components: -0.0297; 100 components: -0.0162. Silhouette compares within-group closeness with the nearest other group; values near zero indicate overlap and negative values indicate poor separation. Separation improves with more components but remains negative, so these word groups do not form distinct clusters in this representation.</w:t>
      </w:r>
    </w:p>
    <w:p>
      <w:pPr>
        <w:keepNext/>
        <w:widowControl/>
        <w:spacing w:after="60" w:before="130"/>
      </w:pPr>
      <w:r>
        <w:t xml:space="preserve">Figure 8. Engineered feature associations</w:t>
      </w:r>
    </w:p>
    <w:p>
      <w:pPr>
        <w:keepNext/>
        <w:jc w:val="center"/>
      </w:pPr>
      <w:r>
        <w:drawing>
          <wp:inline distT="0" distB="0" distL="0" distR="0">
            <wp:extent cx="5905500" cy="2847975"/>
            <wp:effectExtent t="0" r="0" b="0" l="0"/>
            <wp:docPr id="8" name="relevance.png" descr="Aggregate EDA chart; description and numeric findings follow the figure" title="relev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847975"/>
                    </a:xfrm>
                    <a:prstGeom prst="rect">
                      <a:avLst/>
                    </a:prstGeom>
                  </pic:spPr>
                </pic:pic>
              </a:graphicData>
            </a:graphic>
          </wp:inline>
        </w:drawing>
      </w:r>
    </w:p>
    <w:p>
      <w:pPr>
        <w:keepLines/>
        <w:widowControl/>
        <w:spacing w:after="150" w:line="253"/>
      </w:pPr>
      <w:r>
        <w:t xml:space="preserve">The leading bars are unnegated_cue (r 0.696), safety_cue (r 0.620), skin_reaction_unnegated_count (r 0.503); the largest non-asterisked association is body_part_mention, r 0.107. Associations use the later-period half of the uniform sample, including 273 positives.</w:t>
      </w:r>
    </w:p>
    <w:p>
      <w:pPr>
        <w:pStyle w:val="Heading1"/>
        <w:keepNext/>
        <w:widowControl/>
        <w:spacing w:after="100" w:before="220"/>
      </w:pPr>
      <w:r>
        <w:t xml:space="preserve">5. Patterns, trends and insights for the beauty and wellness market</w:t>
      </w:r>
    </w:p>
    <w:p>
      <w:pPr>
        <w:widowControl/>
        <w:spacing w:after="100" w:line="253"/>
      </w:pPr>
      <w:r>
        <w:t xml:space="preserve">Four measured comparisons translate the review evidence into retail planning choices. Here, a higher-risk segment means a higher cue share for investigation. Rates use reviews within each segment, while volume represents demand for feedback handling. Compare category composition before allocating staff, changing product messaging or choosing a supplier investigation.</w:t>
      </w:r>
    </w:p>
    <w:p>
      <w:pPr>
        <w:pStyle w:val="ListParagraph"/>
        <w:widowControl/>
        <w:numPr>
          <w:ilvl w:val="0"/>
          <w:numId w:val="1"/>
        </w:numPr>
        <w:spacing w:after="100" w:line="253"/>
      </w:pPr>
      <w:r>
        <w:t xml:space="preserve">Seasonality: June has the highest pooled cue rate, 3.60%, and December the lowest, 3.20%. Month versus cue presence gives chi-square 906.8, 11 degrees of freedom, p 2.19e-187 and Cramer's V 0.0062. The small effect suggests modest seasonal routing changes: a retailer should plan review capacity around volume and compare the same categories across months before adjusting tolerability advice.</w:t>
      </w:r>
    </w:p>
    <w:p>
      <w:pPr>
        <w:pStyle w:val="ListParagraph"/>
        <w:widowControl/>
        <w:numPr>
          <w:ilvl w:val="0"/>
          <w:numId w:val="1"/>
        </w:numPr>
        <w:spacing w:after="100" w:line="253"/>
      </w:pPr>
      <w:r>
        <w:t xml:space="preserve">Category mix: the highest cue shares are Grocery 5.75% (Wilson interval 5.54% to 5.98%, 43,567 reviews) and Industrial &amp; Scientific 5.38% (Wilson interval 5.24% to 5.52%, 105,860 reviews). A beauty retailer should audit these cross-category listings for misclassification and product-use context, then route accounts to relevant specialists. Their appearance in the beauty snapshot is itself a merchandising-quality finding.</w:t>
      </w:r>
    </w:p>
    <w:p>
      <w:pPr>
        <w:pStyle w:val="ListParagraph"/>
        <w:widowControl/>
        <w:numPr>
          <w:ilvl w:val="0"/>
          <w:numId w:val="1"/>
        </w:numPr>
        <w:spacing w:after="100" w:line="253"/>
      </w:pPr>
      <w:r>
        <w:t xml:space="preserve">Price mix: USD 25 to &lt;50 leads at 4.09% (Wilson interval 4.07% to 4.12%, 3,272,850 reviews), compared with 2.58% in USD &lt;10. A brand should compare formulations and packaging within matched categories before choosing which price tier needs extra product guidance. Bands refer to exact snapshot USD prices; absent prices and starting-price strings remain a separate group.</w:t>
      </w:r>
    </w:p>
    <w:p>
      <w:pPr>
        <w:pStyle w:val="ListParagraph"/>
        <w:widowControl/>
        <w:numPr>
          <w:ilvl w:val="0"/>
          <w:numId w:val="1"/>
        </w:numPr>
        <w:spacing w:after="100" w:line="253"/>
      </w:pPr>
      <w:r>
        <w:t xml:space="preserve">Yearly change: from 2021 to 2022, cue rates change by All Beauty +0.395; Health &amp; Personal Care +0.612; Premium Beauty +0.308; Amazon Home +0.299; Tools &amp; Home Improvement -0.061 percentage points. These are the five largest known categories by total review volume. A retailer should prioritize the largest increase for a product-level drill-down, compare continuing products with new listings, and test whether the shift persists after holding the category and rating mix constant.</w:t>
      </w:r>
    </w:p>
    <w:p>
      <w:pPr>
        <w:keepNext/>
        <w:widowControl/>
        <w:spacing w:after="60" w:before="130"/>
      </w:pPr>
      <w:r>
        <w:t xml:space="preserve">Figure 9. Seasonality, price mix and category trends</w:t>
      </w:r>
    </w:p>
    <w:p>
      <w:pPr>
        <w:keepNext/>
        <w:jc w:val="center"/>
      </w:pPr>
      <w:r>
        <w:drawing>
          <wp:inline distT="0" distB="0" distL="0" distR="0">
            <wp:extent cx="5905500" cy="3867150"/>
            <wp:effectExtent t="0" r="0" b="0" l="0"/>
            <wp:docPr id="9" name="market_trends.png" descr="Aggregate EDA chart; description and numeric findings follow the figure" title="market_tren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867150"/>
                    </a:xfrm>
                    <a:prstGeom prst="rect">
                      <a:avLst/>
                    </a:prstGeom>
                  </pic:spPr>
                </pic:pic>
              </a:graphicData>
            </a:graphic>
          </wp:inline>
        </w:drawing>
      </w:r>
    </w:p>
    <w:p>
      <w:pPr>
        <w:keepLines/>
        <w:widowControl/>
        <w:spacing w:after="150" w:line="253"/>
      </w:pPr>
      <w:r>
        <w:t xml:space="preserve">Seasonal volume bars show 2,338,973 January and 2,050,416 February reviews; the cue-rate panel shows January 3.28% and February 3.45%. The price panel includes unavailable exact prices at a cue rate of 3.40%. The annual All Beauty line runs from 4.97% in 2013 to 3.82% in its final plotted year, across the latest decade of interior observation years.</w:t>
      </w:r>
    </w:p>
    <w:p>
      <w:pPr>
        <w:widowControl/>
        <w:spacing w:after="100" w:line="253"/>
      </w:pPr>
      <w:r>
        <w:t xml:space="preserve">Implement the business drill-down by ranking category-year changes, tracing the contributing product cohorts, and separating a changed share from a changed number of accounts. Recompute calendar comparisons within each major category, then directly standardize to a fixed category distribution. For price comparisons, retain common products and compare within word group and rating. Request dated product and sales records before translating the review patterns into stocking or usage-rate decisions.</w:t>
      </w:r>
    </w:p>
    <w:p>
      <w:pPr>
        <w:pStyle w:val="Heading1"/>
        <w:keepNext/>
        <w:widowControl/>
        <w:spacing w:after="100" w:before="220"/>
      </w:pPr>
      <w:r>
        <w:t xml:space="preserve">6. Feature engineering plan: new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2658"/>
        <w:gridCol w:w="2658"/>
        <w:gridCol w:w="2882"/>
      </w:tblGrid>
      <w:tr>
        <w:trPr>
          <w:cantSplit/>
          <w:tblHeader/>
        </w:trPr>
        <w:tc>
          <w:tcPr>
            <w:tcW w:type="dxa" w:w="1440"/>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Feature</w:t>
            </w:r>
          </w:p>
        </w:tc>
        <w:tc>
          <w:tcPr>
            <w:tcW w:type="dxa" w:w="2658"/>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How it is built</w:t>
            </w:r>
          </w:p>
        </w:tc>
        <w:tc>
          <w:tcPr>
            <w:tcW w:type="dxa" w:w="2658"/>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Hidden behaviour or trend it captures</w:t>
            </w:r>
          </w:p>
        </w:tc>
        <w:tc>
          <w:tcPr>
            <w:tcW w:type="dxa" w:w="2882"/>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H2 / H3 test</w:t>
            </w:r>
          </w:p>
        </w:tc>
      </w:tr>
      <w:tr>
        <w:trPr>
          <w:cantSplit/>
          <w:tblHeader w:val="off"/>
        </w:trPr>
        <w:tc>
          <w:tcPr>
            <w:tcW w:type="dxa" w:w="144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Scoped cues preserve polarity.</w:t>
            </w:r>
          </w:p>
        </w:tc>
        <w:tc>
          <w:tcPr>
            <w:tcW w:type="dxa" w:w="265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Keep raw, negated and unnegated matches.</w:t>
            </w:r>
          </w:p>
        </w:tc>
        <w:tc>
          <w:tcPr>
            <w:tcW w:type="dxa" w:w="265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Local denials differ from affirmative wording.</w:t>
            </w:r>
          </w:p>
        </w:tc>
        <w:tc>
          <w:tcPr>
            <w:tcW w:type="dxa" w:w="2882"/>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H2 tests fewer false alerts; H3 supplies contextual rule votes.</w:t>
            </w:r>
          </w:p>
        </w:tc>
      </w:tr>
      <w:tr>
        <w:trPr>
          <w:cantSplit/>
          <w:tblHeader w:val="off"/>
        </w:trPr>
        <w:tc>
          <w:tcPr>
            <w:tcW w:type="dxa" w:w="144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Group counts retain topics.</w:t>
            </w:r>
          </w:p>
        </w:tc>
        <w:tc>
          <w:tcPr>
            <w:tcW w:type="dxa" w:w="265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Count raw and unnegated matches per group.</w:t>
            </w:r>
          </w:p>
        </w:tc>
        <w:tc>
          <w:tcPr>
            <w:tcW w:type="dxa" w:w="265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Repeated and overlapping symptoms remain visible.</w:t>
            </w:r>
          </w:p>
        </w:tc>
        <w:tc>
          <w:tcPr>
            <w:tcW w:type="dxa" w:w="2882"/>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H2 tests topic detail; H3 checks rule coverage and conflicts.</w:t>
            </w:r>
          </w:p>
        </w:tc>
      </w:tr>
      <w:tr>
        <w:trPr>
          <w:cantSplit/>
          <w:tblHeader w:val="off"/>
        </w:trPr>
        <w:tc>
          <w:tcPr>
            <w:tcW w:type="dxa" w:w="144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Rating mismatch flags contradiction.</w:t>
            </w:r>
          </w:p>
        </w:tc>
        <w:tc>
          <w:tcPr>
            <w:tcW w:type="dxa" w:w="265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Mark five stars with an unnegated cue.</w:t>
            </w:r>
          </w:p>
        </w:tc>
        <w:tc>
          <w:tcPr>
            <w:tcW w:type="dxa" w:w="265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Satisfied reviewers can still report harm.</w:t>
            </w:r>
          </w:p>
        </w:tc>
        <w:tc>
          <w:tcPr>
            <w:tcW w:type="dxa" w:w="2882"/>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H2 tests missed accounts; H3 checks rating-based rule errors.</w:t>
            </w:r>
          </w:p>
        </w:tc>
      </w:tr>
      <w:tr>
        <w:trPr>
          <w:cantSplit/>
          <w:tblHeader w:val="off"/>
        </w:trPr>
        <w:tc>
          <w:tcPr>
            <w:tcW w:type="dxa" w:w="144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Text shape records expression.</w:t>
            </w:r>
          </w:p>
        </w:tc>
        <w:tc>
          <w:tcPr>
            <w:tcW w:type="dxa" w:w="265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Scale length; count capitals, exclamations and personal body context.</w:t>
            </w:r>
          </w:p>
        </w:tc>
        <w:tc>
          <w:tcPr>
            <w:tcW w:type="dxa" w:w="265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Detailed personal accounts differ from generic discussion.</w:t>
            </w:r>
          </w:p>
        </w:tc>
        <w:tc>
          <w:tcPr>
            <w:tcW w:type="dxa" w:w="2882"/>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H2 tests added context; H3 audits coverage by writing style.</w:t>
            </w:r>
          </w:p>
        </w:tc>
      </w:tr>
      <w:tr>
        <w:trPr>
          <w:cantSplit/>
          <w:tblHeader w:val="off"/>
        </w:trPr>
        <w:tc>
          <w:tcPr>
            <w:tcW w:type="dxa" w:w="144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Reviewer history describes activity.</w:t>
            </w:r>
          </w:p>
        </w:tc>
        <w:tc>
          <w:tcPr>
            <w:tcW w:type="dxa" w:w="265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Use earlier count, mean rating and a cold-start flag.</w:t>
            </w:r>
          </w:p>
        </w:tc>
        <w:tc>
          <w:tcPr>
            <w:tcW w:type="dxa" w:w="265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Current wording can differ from earlier rating habits.</w:t>
            </w:r>
          </w:p>
        </w:tc>
        <w:tc>
          <w:tcPr>
            <w:tcW w:type="dxa" w:w="2882"/>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H2 tests behavioral context; H3 checks repeated-activity bias.</w:t>
            </w:r>
          </w:p>
        </w:tc>
      </w:tr>
      <w:tr>
        <w:trPr>
          <w:cantSplit/>
          <w:tblHeader w:val="off"/>
        </w:trPr>
        <w:tc>
          <w:tcPr>
            <w:tcW w:type="dxa" w:w="144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Product context describes cohorts.</w:t>
            </w:r>
          </w:p>
        </w:tc>
        <w:tc>
          <w:tcPr>
            <w:tcW w:type="dxa" w:w="265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Use prior count and cue rate, cold starts and catalogue encodings.</w:t>
            </w:r>
          </w:p>
        </w:tc>
        <w:tc>
          <w:tcPr>
            <w:tcW w:type="dxa" w:w="265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Clusters differ by product history and retail mix.</w:t>
            </w:r>
          </w:p>
        </w:tc>
        <w:tc>
          <w:tcPr>
            <w:tcW w:type="dxa" w:w="2882"/>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H2 tests cohort generalization; H3 checks product dominance.</w:t>
            </w:r>
          </w:p>
        </w:tc>
      </w:tr>
      <w:tr>
        <w:trPr>
          <w:cantSplit/>
          <w:tblHeader w:val="off"/>
        </w:trPr>
        <w:tc>
          <w:tcPr>
            <w:tcW w:type="dxa" w:w="144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Time variables locate change.</w:t>
            </w:r>
          </w:p>
        </w:tc>
        <w:tc>
          <w:tcPr>
            <w:tcW w:type="dxa" w:w="265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Derive year, quarter and observed product age.</w:t>
            </w:r>
          </w:p>
        </w:tc>
        <w:tc>
          <w:tcPr>
            <w:tcW w:type="dxa" w:w="265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Established listings differ from newly observed products.</w:t>
            </w:r>
          </w:p>
        </w:tc>
        <w:tc>
          <w:tcPr>
            <w:tcW w:type="dxa" w:w="2882"/>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H2 tests later-period stability; H3 checks rule drift.</w:t>
            </w:r>
          </w:p>
        </w:tc>
      </w:tr>
      <w:tr>
        <w:trPr>
          <w:cantSplit/>
          <w:tblHeader w:val="off"/>
        </w:trPr>
        <w:tc>
          <w:tcPr>
            <w:tcW w:type="dxa" w:w="144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Interactions combine evidence.</w:t>
            </w:r>
          </w:p>
        </w:tc>
        <w:tc>
          <w:tcPr>
            <w:tcW w:type="dxa" w:w="265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Multiply rating by cue and combine body context with cue.</w:t>
            </w:r>
          </w:p>
        </w:tc>
        <w:tc>
          <w:tcPr>
            <w:tcW w:type="dxa" w:w="265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Affirmative wording changes meaning with context.</w:t>
            </w:r>
          </w:p>
        </w:tc>
        <w:tc>
          <w:tcPr>
            <w:tcW w:type="dxa" w:w="2882"/>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H2 tests combined evidence; H3 finds conflicting rule votes.</w:t>
            </w:r>
          </w:p>
        </w:tc>
      </w:tr>
    </w:tbl>
    <w:p>
      <w:pPr>
        <w:widowControl/>
        <w:spacing w:after="100" w:line="253"/>
      </w:pPr>
      <w:r>
        <w:t xml:space="preserve">The negation window covers the preceding four tokens, with at most three intervening words; punctuation and contrast words reset it, and title and body are separated. Groups cover skin reaction, irritation, eye, hair and scalp, smell and spoilage, and contamination. Standalone burn wording includes short reaction accounts. The verified-purchase interaction is unavailable because the cleaned schema lacks that field.</w:t>
      </w:r>
    </w:p>
    <w:p>
      <w:pPr>
        <w:pStyle w:val="Heading1"/>
        <w:keepNext/>
        <w:widowControl/>
        <w:spacing w:after="100" w:before="220"/>
      </w:pPr>
      <w:r>
        <w:t xml:space="preserve">7. Transformations: normalization, encoding and interaction variables</w:t>
      </w:r>
    </w:p>
    <w:p>
      <w:pPr>
        <w:widowControl/>
        <w:spacing w:after="100" w:line="253"/>
      </w:pPr>
      <w:r>
        <w:t xml:space="preserve">Log normalization compresses long bodies while retaining empty and brief accounts. length_scaled = (log1p(word_count) minus 3.044522) / 1.563976, where 3.044522 is the median and 1.563976 the interquartile range of log1p(word_count) over all 23,663,832 retained reviews, fitted in Week 3 and reused unchanged; in modelling, refit on training folds only. Population aggregates use src/eda.py; the expressions below come from src/features.py, with synthetic feature checks in tests/test_features.py. In the code, center and scale name these parameters.</w:t>
      </w:r>
    </w:p>
    <w:p>
      <w:pPr>
        <w:keepNext/>
        <w:widowControl/>
        <w:spacing w:after="0" w:line="215"/>
      </w:pPr>
      <w:r>
        <w:rPr>
          <w:rFonts w:ascii="Consolas" w:cs="Consolas" w:eastAsia="Consolas" w:hAnsi="Consolas"/>
          <w:sz w:val="17"/>
          <w:szCs w:val="17"/>
        </w:rPr>
        <w:t xml:space="preserve">out["length_scaled"] = (np.log1p(out["word_count"]) - center) / scale</w:t>
      </w:r>
    </w:p>
    <w:p>
      <w:pPr>
        <w:widowControl/>
        <w:spacing w:after="100" w:line="253"/>
      </w:pPr>
      <w:r>
        <w:t xml:space="preserve">Low-cardinality context uses a stable one-hot vocabulary; high-cardinality stores use training-reference frequencies. Unknown values receive a frequency of zero and an explicit unknown flag; missing catalogue values have their own token. The encoder rejects rows that precede its cutoff. The unknown flag distinguishes an unseen store from an observed rare store, while the missing token separates absent metadata from either case.</w:t>
      </w:r>
    </w:p>
    <w:p>
      <w:pPr>
        <w:keepNext/>
        <w:widowControl/>
        <w:spacing w:after="0" w:line="215"/>
      </w:pPr>
      <w:r>
        <w:rPr>
          <w:rFonts w:ascii="Consolas" w:cs="Consolas" w:eastAsia="Consolas" w:hAnsi="Consolas"/>
          <w:sz w:val="17"/>
          <w:szCs w:val="17"/>
        </w:rPr>
        <w:t xml:space="preserve">out[f"{name}_frequency"] = values.map(specification["frequency"]).fillna(0.0)</w:t>
      </w:r>
    </w:p>
    <w:p>
      <w:pPr>
        <w:keepNext/>
        <w:widowControl/>
        <w:spacing w:after="0" w:line="215"/>
      </w:pPr>
      <w:r>
        <w:rPr>
          <w:rFonts w:ascii="Consolas" w:cs="Consolas" w:eastAsia="Consolas" w:hAnsi="Consolas"/>
          <w:sz w:val="17"/>
          <w:szCs w:val="17"/>
        </w:rPr>
        <w:t xml:space="preserve">out[f"{name}_unknown"] = ~values.isin(specification["frequency"])</w:t>
      </w:r>
    </w:p>
    <w:p>
      <w:pPr>
        <w:widowControl/>
        <w:spacing w:after="100" w:line="253"/>
      </w:pPr>
      <w:r>
        <w:t xml:space="preserve">Interactions expose conditional meaning to a simple linear classifier. Apply the fitted transformations in a fixed column order at training and prediction time, preserving the unknown and missing indicators. Compare a model with these columns against one without them to establish whether their extra detail improves the held-out ranking.</w:t>
      </w:r>
    </w:p>
    <w:p>
      <w:pPr>
        <w:keepNext/>
        <w:widowControl/>
        <w:spacing w:after="0" w:line="215"/>
      </w:pPr>
      <w:r>
        <w:rPr>
          <w:rFonts w:ascii="Consolas" w:cs="Consolas" w:eastAsia="Consolas" w:hAnsi="Consolas"/>
          <w:sz w:val="17"/>
          <w:szCs w:val="17"/>
        </w:rPr>
        <w:t xml:space="preserve">out["rating_x_cue"] = out["rating"] * out["unnegated_cue"]</w:t>
      </w:r>
    </w:p>
    <w:p>
      <w:pPr>
        <w:keepNext/>
        <w:widowControl/>
        <w:spacing w:after="0" w:line="215"/>
      </w:pPr>
      <w:r>
        <w:rPr>
          <w:rFonts w:ascii="Consolas" w:cs="Consolas" w:eastAsia="Consolas" w:hAnsi="Consolas"/>
          <w:sz w:val="17"/>
          <w:szCs w:val="17"/>
        </w:rPr>
        <w:t xml:space="preserve">out["body_x_cue"] = out["body_part_mention"] &amp; out["unnegated_cue"]</w:t>
      </w:r>
    </w:p>
    <w:p>
      <w:pPr>
        <w:pStyle w:val="Heading1"/>
        <w:keepNext/>
        <w:widowControl/>
        <w:spacing w:after="100" w:before="220"/>
      </w:pPr>
      <w:r>
        <w:t xml:space="preserve">8. Features that capture hidden customer behaviour and market trends</w:t>
      </w:r>
    </w:p>
    <w:p>
      <w:pPr>
        <w:widowControl/>
        <w:spacing w:after="100" w:line="253"/>
      </w:pPr>
      <w:r>
        <w:t xml:space="preserve">Customer behavior can be mixed within one account. The synthetic example it burned my scalp while the smell was pleasant combines approval with a specific bodily effect. An analyst should retain both dimensions and check the claimed experience against product instructions, instead of interpreting overall enthusiasm as absence of a problem. Earlier rating habits can frame that reading without assigning motives to the writer.</w:t>
      </w:r>
    </w:p>
    <w:p>
      <w:pPr>
        <w:widowControl/>
        <w:spacing w:after="100" w:line="253"/>
      </w:pPr>
      <w:r>
        <w:t xml:space="preserve">Market trends require comparisons among similar products. A rising cue share across established listings suggests a different investigation from a rise concentrated in newly observed products. Hold category and rating mix constant, compare continuing cohorts, and use earlier product counts to judge the stability of a rate. This turns the seasonal and annual findings into questions about formulation, storage or assortment changes that a retailer can investigate with dated records.</w:t>
      </w:r>
    </w:p>
    <w:p>
      <w:pPr>
        <w:pStyle w:val="Heading1"/>
        <w:keepNext/>
        <w:widowControl/>
        <w:spacing w:after="100" w:before="220"/>
      </w:pPr>
      <w:r>
        <w:t xml:space="preserve">9. How the features improve analytical insight and model accuracy</w:t>
      </w:r>
    </w:p>
    <w:p>
      <w:pPr>
        <w:widowControl/>
        <w:spacing w:after="100" w:line="253"/>
      </w:pPr>
      <w:r>
        <w:t xml:space="preserve">H2 asks whether supervised text classification with engineered features improves average precision over the tuned keyword baseline. H3 asks whether weak-label training reaches average precision within 0.05 of the hand-labeled model on the same independent human outcomes. Score both comparisons on identical product-separated later folds, report paired differences with product-bootstrap uncertainty, and remove each feature family in turn to test its contribution.</w:t>
      </w:r>
    </w:p>
    <w:p>
      <w:pPr>
        <w:pStyle w:val="Heading1"/>
        <w:keepNext/>
        <w:widowControl/>
        <w:spacing w:after="100" w:before="220"/>
      </w:pPr>
      <w:r>
        <w:t xml:space="preserve">10. Leakage, validation and the human check for proxy measures</w:t>
      </w:r>
    </w:p>
    <w:p>
      <w:pPr>
        <w:widowControl/>
        <w:spacing w:after="100" w:line="253"/>
      </w:pPr>
      <w:r>
        <w:t xml:space="preserve">No feature may use a complaint label or information after its review timestamp. Exclude current and tied events; freeze encoders on earlier training folds. Histories and product ages cover the supplied sample, not complete activity or launch dates. A model handles a missing prior mean with a missing indicator plus fold median imputation. Exclude undated catalogue attributes and accumulated helpful votes from prospective models.</w:t>
      </w:r>
    </w:p>
    <w:p>
      <w:pPr>
        <w:widowControl/>
        <w:spacing w:after="100" w:line="253"/>
      </w:pPr>
      <w:r>
        <w:t xml:space="preserve">The weak proxy is unnegated cue AND rating at most two, not ground truth. Asterisked features share its ingredients, inflating associations; wording can describe relief, another product or missed negation. Neither associations nor text clusters establish complaint accuracy. Shared products and reviewers also limit independent-observation uncertainty estimates.</w:t>
      </w:r>
    </w:p>
    <w:p>
      <w:pPr>
        <w:widowControl/>
        <w:spacing w:after="100" w:line="253"/>
      </w:pPr>
      <w:r>
        <w:t xml:space="preserve">The annotation rule is yes for an affirmative physical reaction experienced by the writer or someone they describe after using this product; spoilage, contamination or expiry as received or used; a broken seal showing use; or injury caused by packaging or an applicator. No covers negated or hypothetical harm, relief, another product, dislike, and delivery, price, size or efficacy complaints. Use unclear when an effect is not connected to the product or text is too short or garbled to tell.</w:t>
      </w:r>
    </w:p>
    <w:p>
      <w:pPr>
        <w:widowControl/>
        <w:spacing w:after="100" w:line="253"/>
      </w:pPr>
      <w:r>
        <w:t xml:space="preserve">Draw a fifty-review pilot equally from proxy-positive, negated-only, high-rating unnegated, other-cue and no-cue strata. Record population sizes and inclusion probabilities. Two annotators independently apply the rule, hiding ratings, product names and feature outputs; record complaint type, stated severity and experiencer. A third reviewer adjudicates disagreements, preserving original labels. Report agreement, confusion counts and prevalence-weighted proxy precision and recall with uncertainty; keep unclear cases separate.</w:t>
      </w:r>
    </w:p>
    <w:p>
      <w:pPr>
        <w:widowControl/>
        <w:spacing w:after="100" w:line="253"/>
      </w:pPr>
      <w:r>
        <w:t xml:space="preserve">Repair the guideline, then check two hundred double-labeled reviews before freezing an independent test set. Fit all predictive preprocessing within folds, retain an audit trail of abstentions, and record reviewer workload alongside ranking quality.</w:t>
      </w:r>
    </w:p>
    <w:p>
      <w:pPr>
        <w:pStyle w:val="Heading1"/>
        <w:keepNext/>
        <w:widowControl/>
        <w:spacing w:after="100" w:before="220"/>
      </w:pPr>
      <w:r>
        <w:t xml:space="preserve">11. Ethics and limitations</w:t>
      </w:r>
    </w:p>
    <w:p>
      <w:pPr>
        <w:widowControl/>
        <w:spacing w:after="100" w:line="253"/>
      </w:pPr>
      <w:r>
        <w:t xml:space="preserve">Privacy risk -&gt; Health experiences and linked details can identify customers. Keep text in a controlled annotation workspace, restrict linkage keys, publish aggregates and synthetic examples, and delete histories when their investigation purpose ends. Pseudonyms still require access controls. Give annotators a route to skip distressing material without copying it into discussion channels.</w:t>
      </w:r>
    </w:p>
    <w:p>
      <w:pPr>
        <w:widowControl/>
        <w:spacing w:after="100" w:line="253"/>
      </w:pPr>
      <w:r>
        <w:t xml:space="preserve">Language bias -&gt; English rules miss multilingual and indirect accounts. Audit errors by language and text length, obtain bilingual annotation where needed, and keep an accessible route for customers whose wording the screening system misses. Sample unflagged accounts as well as alerts so those omissions become visible.</w:t>
      </w:r>
    </w:p>
    <w:p>
      <w:pPr>
        <w:widowControl/>
        <w:spacing w:after="100" w:line="253"/>
      </w:pPr>
      <w:r>
        <w:t xml:space="preserve">Reputational harm -&gt; Internal rankings can wrongly implicate a supplier. Keep unreviewed brand comparisons private, verify product identity and variant before escalation, and require an accountable investigator to authorize external action. Preserve the reason for closure or referral. A complaint establishes an allegation, not laboratory confirmation of a defect.</w:t>
      </w:r>
    </w:p>
    <w:p>
      <w:pPr>
        <w:widowControl/>
        <w:spacing w:after="100" w:line="253"/>
      </w:pPr>
      <w:r>
        <w:t xml:space="preserve">Selection and exposure bias -&gt; Reviewers differ from all buyers. Obtain sales or usage denominators before estimating incidence and compare like-for-like cohorts. This historical marketplace snapshot cannot establish current demand, regional applicability or causation. Document which populations the snapshot omits before extending any operational recommendation to them.</w:t>
      </w:r>
    </w:p>
    <w:p>
      <w:pPr>
        <w:widowControl/>
        <w:spacing w:after="100" w:line="253"/>
      </w:pPr>
      <w:r>
        <w:t xml:space="preserve">Fairness and accountability -&gt; Emotion and frequent reviewing do not establish deception. Use behavior only as context, inspect decisions affecting new reviewers, and provide correction routes. Exclude demographic inference and personal customer risk scoring. Domain staff should review severe accounts, distinguish stated medical attention from inferred severity, and audit missed cases alongside alerts with an owner for corrective action.</w:t>
      </w:r>
    </w:p>
    <w:p>
      <w:pPr>
        <w:pStyle w:val="Heading1"/>
        <w:keepNext/>
        <w:widowControl/>
        <w:spacing w:after="100" w:before="220"/>
      </w:pPr>
      <w:r>
        <w:t xml:space="preserve">12. Hypothetical scenario: how a brand safety team uses these features to decide</w:t>
      </w:r>
    </w:p>
    <w:p>
      <w:pPr>
        <w:widowControl/>
        <w:spacing w:after="100" w:line="253"/>
      </w:pPr>
      <w:r>
        <w:t xml:space="preserve">Assume a brand team receives 10,000 reviews in a week. The exact measured proxy prevalence is 266,587 / 23,663,832, or 1.126559%; multiplying intake by that proportion gives about 113 eligible accounts. This workload projection assumes incoming rating and product mix matches the measured population. Capacity is 50 cases at an assumed 5 minutes each, requiring 4.17 reader hours; reading all eligible accounts would take about 9.4 hours. The remaining approximately 63 cases roll into a ranked backlog or go to a second reader.</w:t>
      </w:r>
    </w:p>
    <w:p>
      <w:pPr>
        <w:widowControl/>
        <w:spacing w:after="100" w:line="253"/>
      </w:pPr>
      <w:r>
        <w:t xml:space="preserve">The analyst ranks the eligible queue by bodily context and word group, then opens each selected account in the protected workspace. They check which product and body area are described, distinguish a denied reaction from an affirmative one, and record yes, no or unclear using the annotation rule. A high-rating mismatch enters a separate audit sample so the low-rating rule cannot hide contradictory accounts.</w:t>
      </w:r>
    </w:p>
    <w:p>
      <w:pPr>
        <w:widowControl/>
        <w:spacing w:after="100" w:line="253"/>
      </w:pPr>
      <w:r>
        <w:t xml:space="preserve">Suppose a synthetic scalp-burning account remains affirmative after reading while another merely describes relief from itching. The first is referred for product and batch verification; the second is closed as a lexical false alert. Multiple adjudicated complaints about the same verified variant prompt a quality-team investigation of batch, storage and formulation records. The investigation owner documents identity checks, supplier response and evidence needed for a formal safety decision.</w:t>
      </w:r>
    </w:p>
    <w:p>
      <w:pPr>
        <w:widowControl/>
        <w:spacing w:after="100" w:line="253"/>
      </w:pPr>
      <w:r>
        <w:t xml:space="preserve">After adjudication, the team measures confirmed yield, missed complaints in a random no-cue audit, queue age and reading time. If workload exceeds capacity, it adjusts routing on development labels and documents the resulting recall tradeoff. The decision changes because contextual features organize evidence for human review, with measured queue outcomes informing the following investigation cycle and its allocation of staff time.</w:t>
      </w:r>
    </w:p>
    <w:p>
      <w:pPr>
        <w:pStyle w:val="Heading1"/>
        <w:keepNext/>
        <w:widowControl/>
        <w:spacing w:after="100" w:before="220"/>
      </w:pPr>
      <w:r>
        <w:t xml:space="preserve">13. Conclusion</w:t>
      </w:r>
    </w:p>
    <w:p>
      <w:pPr>
        <w:widowControl/>
        <w:spacing w:after="100" w:line="253"/>
      </w:pPr>
      <w:r>
        <w:t xml:space="preserve">The EDA identifies rating, seasonal and product-mix differences that can guide beauty-market investigation. Local wording and contextual variables provide testable ways to rank accounts for limited reading capacity. Adoption depends on improved average precision and useful reviewer yield against independently adjudicated outcomes.</w:t>
      </w:r>
    </w:p>
    <w:sectPr>
      <w:headerReference w:type="default" r:id="rId6"/>
      <w:footerReference w:type="default" r:id="rId7"/>
      <w:pgSz w:w="11906" w:h="16838" w:orient="portrait"/>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widowControl/>
      <w:spacing w:after="100" w:line="253"/>
      <w:jc w:val="center"/>
    </w:pPr>
    <w:r>
      <w:rPr>
        <w:color w:val="657782"/>
        <w:sz w:val="16"/>
        <w:szCs w:val="16"/>
      </w:rPr>
      <w:t xml:space="preserve">Pawan Singh Kapkoti  |  Page </w:t>
    </w:r>
    <w:r>
      <w:rPr>
        <w:color w:val="657782"/>
        <w:sz w:val="16"/>
        <w:szCs w:val="16"/>
      </w:rPr>
      <w:fldChar w:fldCharType="begin"/>
    </w:r>
    <w:r>
      <w:rPr>
        <w:color w:val="657782"/>
        <w:sz w:val="16"/>
        <w:szCs w:val="16"/>
      </w:rPr>
      <w:instrText xml:space="preserve">PAGE</w:instrText>
    </w:r>
    <w:r>
      <w:rPr>
        <w:color w:val="657782"/>
        <w:sz w:val="16"/>
        <w:szCs w:val="16"/>
      </w:rPr>
      <w:fldChar w:fldCharType="separate"/>
    </w:r>
    <w:r>
      <w:rPr>
        <w:color w:val="657782"/>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widowControl/>
      <w:spacing w:after="100" w:line="253"/>
      <w:jc w:val="right"/>
    </w:pPr>
    <w:r>
      <w:rPr>
        <w:color w:val="657782"/>
        <w:sz w:val="15"/>
        <w:szCs w:val="15"/>
      </w:rPr>
      <w:t xml:space="preserve">YUVAINTERN  |  WEEK 4  |  BEAUTY AND WELLNESS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3A4D"/>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F3A4D"/>
      <w:sz w:val="32"/>
      <w:szCs w:val="32"/>
    </w:rPr>
  </w:style>
  <w:style w:type="paragraph" w:styleId="Heading1">
    <w:name w:val="Heading 1"/>
    <w:basedOn w:val="Normal"/>
    <w:next w:val="Normal"/>
    <w:qFormat/>
    <w:pPr>
      <w:outlineLvl w:val="0"/>
    </w:pPr>
    <w:rPr>
      <w:rFonts w:ascii="Calibri" w:cs="Calibri" w:eastAsia="Calibri" w:hAnsi="Calibri"/>
      <w:b/>
      <w:bCs/>
      <w:color w:val="1F3A4D"/>
      <w:sz w:val="27"/>
      <w:szCs w:val="27"/>
    </w:rPr>
  </w:style>
  <w:style w:type="paragraph" w:styleId="Heading2">
    <w:name w:val="Heading 2"/>
    <w:basedOn w:val="Normal"/>
    <w:next w:val="Normal"/>
    <w:qFormat/>
    <w:pPr>
      <w:outlineLvl w:val="1"/>
    </w:pPr>
    <w:rPr>
      <w:rFonts w:ascii="Calibri" w:cs="Calibri" w:eastAsia="Calibri" w:hAnsi="Calibri"/>
      <w:b/>
      <w:bCs/>
      <w:color w:val="1F3A4D"/>
      <w:sz w:val="23"/>
      <w:szCs w:val="23"/>
    </w:rPr>
  </w:style>
  <w:style w:type="paragraph" w:styleId="PlainTerms">
    <w:name w:val="Plain terms"/>
    <w:basedOn w:val="Normal"/>
    <w:rPr>
      <w:b/>
      <w:bCs/>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67cebe37fcfc3fda80ab6a5bdd4c3bfd6d3f25f.png"/><Relationship Id="rId10" Type="http://schemas.openxmlformats.org/officeDocument/2006/relationships/image" Target="media/6861ff0f4dbdb33630c65da08fdc411c63f6248f.png"/><Relationship Id="rId11" Type="http://schemas.openxmlformats.org/officeDocument/2006/relationships/image" Target="media/b5382a953f9c53687de6c8f22f2ab42309f99272.png"/><Relationship Id="rId12" Type="http://schemas.openxmlformats.org/officeDocument/2006/relationships/image" Target="media/331dd77680fb456468ac035e0cade094dfea8308.png"/><Relationship Id="rId13" Type="http://schemas.openxmlformats.org/officeDocument/2006/relationships/image" Target="media/3683c853655c013829f096772c8491bfef2deb3a.png"/><Relationship Id="rId14" Type="http://schemas.openxmlformats.org/officeDocument/2006/relationships/image" Target="media/d5a32d7886b0394cea6bd863600a7440c4a54f60.png"/><Relationship Id="rId15" Type="http://schemas.openxmlformats.org/officeDocument/2006/relationships/image" Target="media/b04998c48217e2947b0b6ce3cf41f2b8bac4015f.png"/><Relationship Id="rId16" Type="http://schemas.openxmlformats.org/officeDocument/2006/relationships/image" Target="media/39db2a58314addc78202c1081d48951a8e01010d.png"/><Relationship Id="rId17" Type="http://schemas.openxmlformats.org/officeDocument/2006/relationships/image" Target="media/2938b9d30798253662a1f4fca6d58b125b8dbb5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Exploratory Data Analysis and Feature Engineering for Cosmetic Safety Complaints</dc:title>
  <dc:subject>YuvaIntern Week 4 Beauty and Wellness</dc:subject>
  <dc:creator>Pawan Singh Kapkoti</dc:creator>
  <cp:lastModifiedBy>Pawan Singh Kapkoti</cp:lastModifiedBy>
  <cp:revision>1</cp:revision>
  <dcterms:created xsi:type="dcterms:W3CDTF">2026-10-23T00:02:46.029Z</dcterms:created>
  <dcterms:modified xsi:type="dcterms:W3CDTF">2026-10-23T00:02:46.030Z</dcterms:modified>
</cp:coreProperties>
</file>

<file path=docProps/custom.xml><?xml version="1.0" encoding="utf-8"?>
<Properties xmlns="http://schemas.openxmlformats.org/officeDocument/2006/custom-properties" xmlns:vt="http://schemas.openxmlformats.org/officeDocument/2006/docPropsVTypes"/>
</file>