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widowControl/>
        <w:spacing w:after="110"/>
      </w:pPr>
      <w:r>
        <w:t xml:space="preserve">Data Cleaning and Preprocessing Pipeline for Cosmetic Safety Complaints</w:t>
      </w:r>
    </w:p>
    <w:p>
      <w:pPr>
        <w:widowControl/>
        <w:spacing w:after="45"/>
      </w:pPr>
      <w:r>
        <w:t xml:space="preserve">Author: Pawan Singh Kapkoti  |  Programme: Data Science with Python Analyst Internship, YuvaIntern</w:t>
      </w:r>
    </w:p>
    <w:p>
      <w:pPr>
        <w:widowControl/>
        <w:spacing w:after="45"/>
      </w:pPr>
      <w:r>
        <w:t xml:space="preserve">Sector: Beauty and Wellness  |  Document: Week 3 report  |  Date: 22 October 2026</w:t>
      </w:r>
    </w:p>
    <w:p>
      <w:pPr>
        <w:widowControl/>
        <w:spacing w:after="80"/>
      </w:pPr>
      <w:r>
        <w:t xml:space="preserve">Repository: https://github.com/Pawansingh3889/yuvaintern</w:t>
      </w:r>
    </w:p>
    <w:p>
      <w:pPr>
        <w:pStyle w:val="Heading1"/>
        <w:keepNext/>
        <w:widowControl/>
        <w:spacing w:after="100" w:before="220"/>
      </w:pPr>
      <w:r>
        <w:t xml:space="preserve">Requirement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15"/>
        <w:gridCol w:w="2409"/>
        <w:gridCol w:w="3214"/>
      </w:tblGrid>
      <w:tr>
        <w:trPr>
          <w:cantSplit/>
          <w:tblHeader/>
        </w:trPr>
        <w:tc>
          <w:tcPr>
            <w:tcW w:type="dxa" w:w="4015"/>
            <w:tcBorders>
              <w:top w:val="single" w:color="D9D9D9" w:sz="4"/>
              <w:left w:val="single" w:color="D9D9D9" w:sz="4"/>
              <w:bottom w:val="single" w:color="D9D9D9" w:sz="4"/>
              <w:right w:val="single" w:color="D9D9D9" w:sz="4"/>
            </w:tcBorders>
            <w:shd w:fill="E8EFF3" w:val="clear"/>
            <w:tcMar>
              <w:top w:type="dxa" w:w="30"/>
              <w:left w:type="dxa" w:w="85"/>
              <w:bottom w:type="dxa" w:w="30"/>
              <w:right w:type="dxa" w:w="85"/>
            </w:tcMar>
            <w:vAlign w:val="center"/>
          </w:tcPr>
          <w:p>
            <w:pPr>
              <w:spacing w:after="0" w:line="205"/>
            </w:pPr>
            <w:r>
              <w:rPr>
                <w:b/>
                <w:bCs/>
                <w:color w:val="1F3A4D"/>
                <w:sz w:val="17"/>
                <w:szCs w:val="17"/>
              </w:rPr>
              <w:t xml:space="preserve">Requirement or criterion</w:t>
            </w:r>
          </w:p>
        </w:tc>
        <w:tc>
          <w:tcPr>
            <w:tcW w:type="dxa" w:w="2409"/>
            <w:tcBorders>
              <w:top w:val="single" w:color="D9D9D9" w:sz="4"/>
              <w:left w:val="single" w:color="D9D9D9" w:sz="4"/>
              <w:bottom w:val="single" w:color="D9D9D9" w:sz="4"/>
              <w:right w:val="single" w:color="D9D9D9" w:sz="4"/>
            </w:tcBorders>
            <w:shd w:fill="E8EFF3" w:val="clear"/>
            <w:tcMar>
              <w:top w:type="dxa" w:w="30"/>
              <w:left w:type="dxa" w:w="85"/>
              <w:bottom w:type="dxa" w:w="30"/>
              <w:right w:type="dxa" w:w="85"/>
            </w:tcMar>
            <w:vAlign w:val="center"/>
          </w:tcPr>
          <w:p>
            <w:pPr>
              <w:spacing w:after="0" w:line="205"/>
            </w:pPr>
            <w:r>
              <w:rPr>
                <w:b/>
                <w:bCs/>
                <w:color w:val="1F3A4D"/>
                <w:sz w:val="17"/>
                <w:szCs w:val="17"/>
              </w:rPr>
              <w:t xml:space="preserve">Where answered</w:t>
            </w:r>
          </w:p>
        </w:tc>
        <w:tc>
          <w:tcPr>
            <w:tcW w:type="dxa" w:w="3214"/>
            <w:tcBorders>
              <w:top w:val="single" w:color="D9D9D9" w:sz="4"/>
              <w:left w:val="single" w:color="D9D9D9" w:sz="4"/>
              <w:bottom w:val="single" w:color="D9D9D9" w:sz="4"/>
              <w:right w:val="single" w:color="D9D9D9" w:sz="4"/>
            </w:tcBorders>
            <w:shd w:fill="E8EFF3" w:val="clear"/>
            <w:tcMar>
              <w:top w:type="dxa" w:w="30"/>
              <w:left w:type="dxa" w:w="85"/>
              <w:bottom w:type="dxa" w:w="30"/>
              <w:right w:type="dxa" w:w="85"/>
            </w:tcMar>
            <w:vAlign w:val="center"/>
          </w:tcPr>
          <w:p>
            <w:pPr>
              <w:spacing w:after="0" w:line="205"/>
            </w:pPr>
            <w:r>
              <w:rPr>
                <w:b/>
                <w:bCs/>
                <w:color w:val="1F3A4D"/>
                <w:sz w:val="17"/>
                <w:szCs w:val="17"/>
              </w:rPr>
              <w:t xml:space="preserve">Evidence</w:t>
            </w:r>
          </w:p>
        </w:tc>
      </w:tr>
      <w:tr>
        <w:trPr>
          <w:cantSplit/>
          <w:tblHeader w:val="off"/>
        </w:trPr>
        <w:tc>
          <w:tcPr>
            <w:tcW w:type="dxa" w:w="401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1 DOC documentation</w:t>
            </w:r>
          </w:p>
        </w:tc>
        <w:tc>
          <w:tcPr>
            <w:tcW w:type="dxa" w:w="2409"/>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Sections 1 to 10</w:t>
            </w:r>
          </w:p>
        </w:tc>
        <w:tc>
          <w:tcPr>
            <w:tcW w:type="dxa" w:w="321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This Word report</w:t>
            </w:r>
          </w:p>
        </w:tc>
      </w:tr>
      <w:tr>
        <w:trPr>
          <w:cantSplit/>
          <w:tblHeader w:val="off"/>
        </w:trPr>
        <w:tc>
          <w:tcPr>
            <w:tcW w:type="dxa" w:w="401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2 Missing values, outliers, inconsistencies</w:t>
            </w:r>
          </w:p>
        </w:tc>
        <w:tc>
          <w:tcPr>
            <w:tcW w:type="dxa" w:w="2409"/>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5.1 to 5.3</w:t>
            </w:r>
          </w:p>
        </w:tc>
        <w:tc>
          <w:tcPr>
            <w:tcW w:type="dxa" w:w="321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Rules, code and measured results</w:t>
            </w:r>
          </w:p>
        </w:tc>
      </w:tr>
      <w:tr>
        <w:trPr>
          <w:cantSplit/>
          <w:tblHeader w:val="off"/>
        </w:trPr>
        <w:tc>
          <w:tcPr>
            <w:tcW w:type="dxa" w:w="401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3 Suitable tools and rationale</w:t>
            </w:r>
          </w:p>
        </w:tc>
        <w:tc>
          <w:tcPr>
            <w:tcW w:type="dxa" w:w="2409"/>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6</w:t>
            </w:r>
          </w:p>
        </w:tc>
        <w:tc>
          <w:tcPr>
            <w:tcW w:type="dxa" w:w="321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Library comparison</w:t>
            </w:r>
          </w:p>
        </w:tc>
      </w:tr>
      <w:tr>
        <w:trPr>
          <w:cantSplit/>
          <w:tblHeader w:val="off"/>
        </w:trPr>
        <w:tc>
          <w:tcPr>
            <w:tcW w:type="dxa" w:w="401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4 Reproducible process</w:t>
            </w:r>
          </w:p>
        </w:tc>
        <w:tc>
          <w:tcPr>
            <w:tcW w:type="dxa" w:w="2409"/>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7</w:t>
            </w:r>
          </w:p>
        </w:tc>
        <w:tc>
          <w:tcPr>
            <w:tcW w:type="dxa" w:w="321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Logs, tests, hashes and commands</w:t>
            </w:r>
          </w:p>
        </w:tc>
      </w:tr>
      <w:tr>
        <w:trPr>
          <w:cantSplit/>
          <w:tblHeader w:val="off"/>
        </w:trPr>
        <w:tc>
          <w:tcPr>
            <w:tcW w:type="dxa" w:w="401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5 Public beauty data issues</w:t>
            </w:r>
          </w:p>
        </w:tc>
        <w:tc>
          <w:tcPr>
            <w:tcW w:type="dxa" w:w="2409"/>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3</w:t>
            </w:r>
          </w:p>
        </w:tc>
        <w:tc>
          <w:tcPr>
            <w:tcW w:type="dxa" w:w="321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Measured issue table</w:t>
            </w:r>
          </w:p>
        </w:tc>
      </w:tr>
      <w:tr>
        <w:trPr>
          <w:cantSplit/>
          <w:tblHeader w:val="off"/>
        </w:trPr>
        <w:tc>
          <w:tcPr>
            <w:tcW w:type="dxa" w:w="401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6 Cleaning methods</w:t>
            </w:r>
          </w:p>
        </w:tc>
        <w:tc>
          <w:tcPr>
            <w:tcW w:type="dxa" w:w="2409"/>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5.1 to 5.5</w:t>
            </w:r>
          </w:p>
        </w:tc>
        <w:tc>
          <w:tcPr>
            <w:tcW w:type="dxa" w:w="321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Step by step methods</w:t>
            </w:r>
          </w:p>
        </w:tc>
      </w:tr>
      <w:tr>
        <w:trPr>
          <w:cantSplit/>
          <w:tblHeader w:val="off"/>
        </w:trPr>
        <w:tc>
          <w:tcPr>
            <w:tcW w:type="dxa" w:w="401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7 Libraries and pseudo-code</w:t>
            </w:r>
          </w:p>
        </w:tc>
        <w:tc>
          <w:tcPr>
            <w:tcW w:type="dxa" w:w="2409"/>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5 and 6</w:t>
            </w:r>
          </w:p>
        </w:tc>
        <w:tc>
          <w:tcPr>
            <w:tcW w:type="dxa" w:w="321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Real Python examples</w:t>
            </w:r>
          </w:p>
        </w:tc>
      </w:tr>
      <w:tr>
        <w:trPr>
          <w:cantSplit/>
          <w:tblHeader w:val="off"/>
        </w:trPr>
        <w:tc>
          <w:tcPr>
            <w:tcW w:type="dxa" w:w="401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8 Further analysis and modelling</w:t>
            </w:r>
          </w:p>
        </w:tc>
        <w:tc>
          <w:tcPr>
            <w:tcW w:type="dxa" w:w="2409"/>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8 and 9</w:t>
            </w:r>
          </w:p>
        </w:tc>
        <w:tc>
          <w:tcPr>
            <w:tcW w:type="dxa" w:w="321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H1 to H5 and EDA plan</w:t>
            </w:r>
          </w:p>
        </w:tc>
      </w:tr>
      <w:tr>
        <w:trPr>
          <w:cantSplit/>
          <w:tblHeader w:val="off"/>
        </w:trPr>
        <w:tc>
          <w:tcPr>
            <w:tcW w:type="dxa" w:w="401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9 Flowchart with rationale</w:t>
            </w:r>
          </w:p>
        </w:tc>
        <w:tc>
          <w:tcPr>
            <w:tcW w:type="dxa" w:w="2409"/>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4</w:t>
            </w:r>
          </w:p>
        </w:tc>
        <w:tc>
          <w:tcPr>
            <w:tcW w:type="dxa" w:w="321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Figure 1</w:t>
            </w:r>
          </w:p>
        </w:tc>
      </w:tr>
      <w:tr>
        <w:trPr>
          <w:cantSplit/>
          <w:tblHeader w:val="off"/>
        </w:trPr>
        <w:tc>
          <w:tcPr>
            <w:tcW w:type="dxa" w:w="401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Criterion: depth and clarity</w:t>
            </w:r>
          </w:p>
        </w:tc>
        <w:tc>
          <w:tcPr>
            <w:tcW w:type="dxa" w:w="2409"/>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3, 5 and 7</w:t>
            </w:r>
          </w:p>
        </w:tc>
        <w:tc>
          <w:tcPr>
            <w:tcW w:type="dxa" w:w="321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Counts and explicit decisions</w:t>
            </w:r>
          </w:p>
        </w:tc>
      </w:tr>
      <w:tr>
        <w:trPr>
          <w:cantSplit/>
          <w:tblHeader w:val="off"/>
        </w:trPr>
        <w:tc>
          <w:tcPr>
            <w:tcW w:type="dxa" w:w="401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Criterion: technical accuracy</w:t>
            </w:r>
          </w:p>
        </w:tc>
        <w:tc>
          <w:tcPr>
            <w:tcW w:type="dxa" w:w="2409"/>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5, 6 and 7</w:t>
            </w:r>
          </w:p>
        </w:tc>
        <w:tc>
          <w:tcPr>
            <w:tcW w:type="dxa" w:w="321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Executed pipeline and tests</w:t>
            </w:r>
          </w:p>
        </w:tc>
      </w:tr>
      <w:tr>
        <w:trPr>
          <w:cantSplit/>
          <w:tblHeader w:val="off"/>
        </w:trPr>
        <w:tc>
          <w:tcPr>
            <w:tcW w:type="dxa" w:w="401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Criterion: domain innovation</w:t>
            </w:r>
          </w:p>
        </w:tc>
        <w:tc>
          <w:tcPr>
            <w:tcW w:type="dxa" w:w="2409"/>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5.6</w:t>
            </w:r>
          </w:p>
        </w:tc>
        <w:tc>
          <w:tcPr>
            <w:tcW w:type="dxa" w:w="321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Negation, false friends, size and shade</w:t>
            </w:r>
          </w:p>
        </w:tc>
      </w:tr>
      <w:tr>
        <w:trPr>
          <w:cantSplit/>
          <w:tblHeader w:val="off"/>
        </w:trPr>
        <w:tc>
          <w:tcPr>
            <w:tcW w:type="dxa" w:w="4015"/>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Criterion: DOC organisation</w:t>
            </w:r>
          </w:p>
        </w:tc>
        <w:tc>
          <w:tcPr>
            <w:tcW w:type="dxa" w:w="2409"/>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Page 1 and sections 1 to 10</w:t>
            </w:r>
          </w:p>
        </w:tc>
        <w:tc>
          <w:tcPr>
            <w:tcW w:type="dxa" w:w="3214"/>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Rubric mirrored headings</w:t>
            </w:r>
          </w:p>
        </w:tc>
      </w:tr>
    </w:tbl>
    <w:p>
      <w:pPr>
        <w:pStyle w:val="Heading1"/>
        <w:keepNext/>
        <w:widowControl/>
        <w:spacing w:after="100" w:before="220"/>
      </w:pPr>
      <w:r>
        <w:t xml:space="preserve">Feedback from Weeks 1 and 2 and how this report answers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2"/>
        <w:gridCol w:w="4016"/>
      </w:tblGrid>
      <w:tr>
        <w:trPr>
          <w:cantSplit/>
          <w:tblHeader/>
        </w:trPr>
        <w:tc>
          <w:tcPr>
            <w:tcW w:type="dxa" w:w="5622"/>
            <w:tcBorders>
              <w:top w:val="single" w:color="D9D9D9" w:sz="4"/>
              <w:left w:val="single" w:color="D9D9D9" w:sz="4"/>
              <w:bottom w:val="single" w:color="D9D9D9" w:sz="4"/>
              <w:right w:val="single" w:color="D9D9D9" w:sz="4"/>
            </w:tcBorders>
            <w:shd w:fill="E8EFF3" w:val="clear"/>
            <w:tcMar>
              <w:top w:type="dxa" w:w="30"/>
              <w:left w:type="dxa" w:w="85"/>
              <w:bottom w:type="dxa" w:w="30"/>
              <w:right w:type="dxa" w:w="85"/>
            </w:tcMar>
            <w:vAlign w:val="center"/>
          </w:tcPr>
          <w:p>
            <w:pPr>
              <w:spacing w:after="0" w:line="205"/>
            </w:pPr>
            <w:r>
              <w:rPr>
                <w:b/>
                <w:bCs/>
                <w:color w:val="1F3A4D"/>
                <w:sz w:val="17"/>
                <w:szCs w:val="17"/>
              </w:rPr>
              <w:t xml:space="preserve">Feedback quoted from evaluation</w:t>
            </w:r>
          </w:p>
        </w:tc>
        <w:tc>
          <w:tcPr>
            <w:tcW w:type="dxa" w:w="4016"/>
            <w:tcBorders>
              <w:top w:val="single" w:color="D9D9D9" w:sz="4"/>
              <w:left w:val="single" w:color="D9D9D9" w:sz="4"/>
              <w:bottom w:val="single" w:color="D9D9D9" w:sz="4"/>
              <w:right w:val="single" w:color="D9D9D9" w:sz="4"/>
            </w:tcBorders>
            <w:shd w:fill="E8EFF3" w:val="clear"/>
            <w:tcMar>
              <w:top w:type="dxa" w:w="30"/>
              <w:left w:type="dxa" w:w="85"/>
              <w:bottom w:type="dxa" w:w="30"/>
              <w:right w:type="dxa" w:w="85"/>
            </w:tcMar>
            <w:vAlign w:val="center"/>
          </w:tcPr>
          <w:p>
            <w:pPr>
              <w:spacing w:after="0" w:line="205"/>
            </w:pPr>
            <w:r>
              <w:rPr>
                <w:b/>
                <w:bCs/>
                <w:color w:val="1F3A4D"/>
                <w:sz w:val="17"/>
                <w:szCs w:val="17"/>
              </w:rPr>
              <w:t xml:space="preserve">Response</w:t>
            </w:r>
          </w:p>
        </w:tc>
      </w:tr>
      <w:tr>
        <w:trPr>
          <w:cantSplit/>
          <w:tblHeader w:val="off"/>
        </w:trPr>
        <w:tc>
          <w:tcPr>
            <w:tcW w:type="dxa" w:w="5622"/>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W1: "more thorough discussion on ethical considerations. Ensure each section is concise and directly addresses the task requirements."</w:t>
            </w:r>
          </w:p>
        </w:tc>
        <w:tc>
          <w:tcPr>
            <w:tcW w:type="dxa" w:w="4016"/>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Section 2 gives risks and mitigations early. This page maps every requirement.</w:t>
            </w:r>
          </w:p>
        </w:tc>
      </w:tr>
      <w:tr>
        <w:trPr>
          <w:cantSplit/>
          <w:tblHeader w:val="off"/>
        </w:trPr>
        <w:tc>
          <w:tcPr>
            <w:tcW w:type="dxa" w:w="5622"/>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W2: "lacks depth in the exploratory analysis plan and ethical considerations."</w:t>
            </w:r>
          </w:p>
        </w:tc>
        <w:tc>
          <w:tcPr>
            <w:tcW w:type="dxa" w:w="4016"/>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Section 2 audits selection bias by rating; Section 9 specifies analyses, denominators and checks.</w:t>
            </w:r>
          </w:p>
        </w:tc>
      </w:tr>
      <w:tr>
        <w:trPr>
          <w:cantSplit/>
          <w:tblHeader w:val="off"/>
        </w:trPr>
        <w:tc>
          <w:tcPr>
            <w:tcW w:type="dxa" w:w="5622"/>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W2: "Provide a clear explanation of how the data will test the hypotheses from Week 1 and discuss any potential limitations or ethical issues."</w:t>
            </w:r>
          </w:p>
        </w:tc>
        <w:tc>
          <w:tcPr>
            <w:tcW w:type="dxa" w:w="4016"/>
            <w:tcBorders>
              <w:top w:val="single" w:color="D9D9D9" w:sz="4"/>
              <w:left w:val="single" w:color="D9D9D9" w:sz="4"/>
              <w:bottom w:val="single" w:color="D9D9D9" w:sz="4"/>
              <w:right w:val="single" w:color="D9D9D9" w:sz="4"/>
            </w:tcBorders>
            <w:tcMar>
              <w:top w:type="dxa" w:w="30"/>
              <w:left w:type="dxa" w:w="85"/>
              <w:bottom w:type="dxa" w:w="30"/>
              <w:right w:type="dxa" w:w="85"/>
            </w:tcMar>
            <w:vAlign w:val="center"/>
          </w:tcPr>
          <w:p>
            <w:pPr>
              <w:spacing w:after="0" w:line="205"/>
            </w:pPr>
            <w:r>
              <w:rPr>
                <w:b w:val="false"/>
                <w:bCs w:val="false"/>
                <w:color w:val="1F3A4D"/>
                <w:sz w:val="17"/>
                <w:szCs w:val="17"/>
              </w:rPr>
              <w:t xml:space="preserve">Section 8 maps H1 to H5 to cleaned fields and failure modes. Sections 2 and 9 state limits.</w:t>
            </w:r>
          </w:p>
        </w:tc>
      </w:tr>
    </w:tbl>
    <w:p>
      <w:pPr>
        <w:widowControl/>
        <w:spacing w:after="100" w:line="253"/>
      </w:pPr>
      <w:r>
        <w:br w:type="page"/>
      </w:r>
    </w:p>
    <w:p>
      <w:pPr>
        <w:pStyle w:val="Heading1"/>
        <w:keepNext/>
        <w:widowControl/>
        <w:spacing w:after="100" w:before="220"/>
      </w:pPr>
      <w:r>
        <w:t xml:space="preserve">1. Summary</w:t>
      </w:r>
    </w:p>
    <w:p>
      <w:pPr>
        <w:widowControl/>
        <w:spacing w:after="100" w:line="253"/>
      </w:pPr>
      <w:r>
        <w:t xml:space="preserve">One uninterrupted run of the normal module command cleaned the complete Beauty and Personal Care review release. It retained 98.63% of input rows. The only removal rule keeps the first normalised product, title and text combination. All other issues remain visible as flags. The table gives the main results; the full step log is in Section 7.</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5"/>
        <w:gridCol w:w="6673"/>
      </w:tblGrid>
      <w:tr>
        <w:trPr>
          <w:cantSplit/>
          <w:tblHeader/>
        </w:trPr>
        <w:tc>
          <w:tcPr>
            <w:tcW w:type="dxa" w:w="2965"/>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Key number</w:t>
            </w:r>
          </w:p>
        </w:tc>
        <w:tc>
          <w:tcPr>
            <w:tcW w:type="dxa" w:w="6673"/>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Measured result</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Input reviews</w:t>
            </w:r>
          </w:p>
        </w:tc>
        <w:tc>
          <w:tcPr>
            <w:tcW w:type="dxa" w:w="667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23,911,390</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Retained reviews</w:t>
            </w:r>
          </w:p>
        </w:tc>
        <w:tc>
          <w:tcPr>
            <w:tcW w:type="dxa" w:w="667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23,583,111</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Exact copies removed</w:t>
            </w:r>
          </w:p>
        </w:tc>
        <w:tc>
          <w:tcPr>
            <w:tcW w:type="dxa" w:w="667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328,279 (1.37% of input)</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Main issues flagged in retained rows</w:t>
            </w:r>
          </w:p>
        </w:tc>
        <w:tc>
          <w:tcPr>
            <w:tcW w:type="dxa" w:w="667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Short text: 1,599,523 (6.78%); outliers: 344,781 (1.46%); language uncertain or likely non-English: 1,262,288 (5.35%); missing catalogue fields: 1,923,776 (8.16%)</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Synthetic tests passing</w:t>
            </w:r>
          </w:p>
        </w:tc>
        <w:tc>
          <w:tcPr>
            <w:tcW w:type="dxa" w:w="667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14 passed; ruff checks clean</w:t>
            </w:r>
          </w:p>
        </w:tc>
      </w:tr>
    </w:tbl>
    <w:p>
      <w:pPr>
        <w:widowControl/>
        <w:spacing w:after="100" w:line="253"/>
      </w:pPr>
      <w:r>
        <w:t xml:space="preserve">The implementation is src/cleaning.py, checked by tests/test_cleaning.py. The Week 3 notebook section reads the completed aggregate evidence and plots the share affected at each step. HTML decoding and Unicode normalisation improve readability while preserving case, punctuation and negation. Cleaning records uncertainty rather than deciding that a product is unsafe. The language result is an unvalidated proxy. Cleaned text stays in ignored local storage; this report uses aggregate evidence and constructed examples.</w:t>
      </w:r>
    </w:p>
    <w:p>
      <w:pPr>
        <w:pStyle w:val="Heading1"/>
        <w:keepNext/>
        <w:widowControl/>
        <w:spacing w:after="100" w:before="220"/>
      </w:pPr>
      <w:r>
        <w:t xml:space="preserve">2. Ethical considerations and limitations of cleaning</w:t>
      </w:r>
    </w:p>
    <w:p>
      <w:pPr>
        <w:widowControl/>
        <w:spacing w:after="100" w:line="253"/>
      </w:pPr>
      <w:r>
        <w:t xml:space="preserve">Privacy risk starts with linking a review to its author. The output replaces every retained raw user_id with a full HMAC-SHA256 pseudonym using CLEANING_SALT from the environment. The pseudonymisation log covers 23,583,111 rows. A plain unsalted hash would let anyone holding candidate identifiers recompute and match them; a secret key makes that direct matching harder. The mitigation includes dropping the raw identifier, excluding image links and unrelated source fields, and keeping cleaned text local. A stable pseudonym still links a person's reviews, so this is pseudonymisation, not anonymity.</w:t>
      </w:r>
    </w:p>
    <w:p>
      <w:pPr>
        <w:widowControl/>
        <w:spacing w:after="100" w:line="253"/>
      </w:pPr>
      <w:r>
        <w:t xml:space="preserve">The salt is never stored in the repository, logs, report or notebook. This execution used a fresh process-only secret. The row counts and flags can be reproduced without it, but the exact exported pseudonyms cannot be regenerated after that secret is lost. For a continuing private study, the person running the pipeline must retain the secret in an approved credential store and pass it through the environment. Publishing the secret, or an unsalted bridge to the earlier annotation keys, would weaken the protection. The report therefore records the algorithm and secret-handling rule rather than the value.</w:t>
      </w:r>
    </w:p>
    <w:p>
      <w:pPr>
        <w:widowControl/>
        <w:spacing w:after="100" w:line="253"/>
      </w:pPr>
      <w:r>
        <w:t xml:space="preserve">Selection bias is a practical risk of cleaning. Short reviews, non-English reviews and repeated text are not evenly distributed across star ratings. The table below reports the actual within-rating shares. A decision to delete all short text would affect 1,599,523 (6.78%) retained reviews. Deleting the language proxy's likely non-English group would affect 125,117 (0.53%); its uncertain group adds 1,137,171 (4.82%). Neither deletion is implemented. The mitigation is to keep these flags available for sensitivity analyses and to compare the totals used to calculate shares before interpreting any complaint rate.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1"/>
        <w:gridCol w:w="2224"/>
        <w:gridCol w:w="2224"/>
        <w:gridCol w:w="2224"/>
        <w:gridCol w:w="2225"/>
      </w:tblGrid>
      <w:tr>
        <w:trPr>
          <w:cantSplit/>
          <w:tblHeader/>
        </w:trPr>
        <w:tc>
          <w:tcPr>
            <w:tcW w:type="dxa" w:w="741"/>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Rating</w:t>
            </w:r>
          </w:p>
        </w:tc>
        <w:tc>
          <w:tcPr>
            <w:tcW w:type="dxa" w:w="2224"/>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Short text retained</w:t>
            </w:r>
          </w:p>
        </w:tc>
        <w:tc>
          <w:tcPr>
            <w:tcW w:type="dxa" w:w="2224"/>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Likely non-English</w:t>
            </w:r>
          </w:p>
        </w:tc>
        <w:tc>
          <w:tcPr>
            <w:tcW w:type="dxa" w:w="2224"/>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Language unknown</w:t>
            </w:r>
          </w:p>
        </w:tc>
        <w:tc>
          <w:tcPr>
            <w:tcW w:type="dxa" w:w="2225"/>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Exact copies removed</w:t>
            </w:r>
          </w:p>
        </w:tc>
      </w:tr>
      <w:tr>
        <w:trPr>
          <w:cantSplit/>
          <w:tblHeader w:val="off"/>
        </w:trPr>
        <w:tc>
          <w:tcPr>
            <w:tcW w:type="dxa" w:w="741"/>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87,615 (3.12%)</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13,437 (0.48%)</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156,719 (5.58%)</w:t>
            </w:r>
          </w:p>
        </w:tc>
        <w:tc>
          <w:tcPr>
            <w:tcW w:type="dxa" w:w="222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34,018 (1.20%)</w:t>
            </w:r>
          </w:p>
        </w:tc>
      </w:tr>
      <w:tr>
        <w:trPr>
          <w:cantSplit/>
          <w:tblHeader w:val="off"/>
        </w:trPr>
        <w:tc>
          <w:tcPr>
            <w:tcW w:type="dxa" w:w="741"/>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26,643 (2.11%)</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4,365 (0.35%)</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45,126 (3.58%)</w:t>
            </w:r>
          </w:p>
        </w:tc>
        <w:tc>
          <w:tcPr>
            <w:tcW w:type="dxa" w:w="222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13,304 (1.04%)</w:t>
            </w:r>
          </w:p>
        </w:tc>
      </w:tr>
      <w:tr>
        <w:trPr>
          <w:cantSplit/>
          <w:tblHeader w:val="off"/>
        </w:trPr>
        <w:tc>
          <w:tcPr>
            <w:tcW w:type="dxa" w:w="741"/>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3</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53,931 (3.18%)</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7,688 (0.45%)</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61,819 (3.64%)</w:t>
            </w:r>
          </w:p>
        </w:tc>
        <w:tc>
          <w:tcPr>
            <w:tcW w:type="dxa" w:w="222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17,648 (1.03%)</w:t>
            </w:r>
          </w:p>
        </w:tc>
      </w:tr>
      <w:tr>
        <w:trPr>
          <w:cantSplit/>
          <w:tblHeader w:val="off"/>
        </w:trPr>
        <w:tc>
          <w:tcPr>
            <w:tcW w:type="dxa" w:w="741"/>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4</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145,781 (5.64%)</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12,199 (0.47%)</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87,732 (3.39%)</w:t>
            </w:r>
          </w:p>
        </w:tc>
        <w:tc>
          <w:tcPr>
            <w:tcW w:type="dxa" w:w="222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30,963 (1.18%)</w:t>
            </w:r>
          </w:p>
        </w:tc>
      </w:tr>
      <w:tr>
        <w:trPr>
          <w:cantSplit/>
          <w:tblHeader w:val="off"/>
        </w:trPr>
        <w:tc>
          <w:tcPr>
            <w:tcW w:type="dxa" w:w="741"/>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5</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1,285,553 (8.44%)</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87,428 (0.57%)</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785,775 (5.16%)</w:t>
            </w:r>
          </w:p>
        </w:tc>
        <w:tc>
          <w:tcPr>
            <w:tcW w:type="dxa" w:w="222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232,346 (1.50%)</w:t>
            </w:r>
          </w:p>
        </w:tc>
      </w:tr>
    </w:tbl>
    <w:p>
      <w:pPr>
        <w:widowControl/>
        <w:spacing w:after="100" w:line="253"/>
      </w:pPr>
      <w:r>
        <w:t xml:space="preserve">The first three flag shares use retained rows at that rating. The final column uses all input rows at that rating, before deduplication. A denominator is the total a count is a share of. A removed copy cannot be counted in the retained total. The flags overlap and their shares must not be added. Rating is an observed response, not a protected demographic variable or a reliable indicator of harm. These differences expose selection effects without claiming that the audit measures demographic fairness.</w:t>
      </w:r>
    </w:p>
    <w:p>
      <w:pPr>
        <w:widowControl/>
        <w:spacing w:after="100" w:line="253"/>
      </w:pPr>
      <w:r>
        <w:t xml:space="preserve">Deduplication creates its own bias. The 328,279 removed rows are exact product, title and body matches after normalisation, including empty combinations. They are not proven fraudulent reviews. Several people may independently write a common short phrase; keeping one undercounts those experiences. Conversely, copied text could inflate a safety signal if every copy were treated as independent. The mitigation is to preserve the raw release, publish the removal definition and rating audit, and run a later sensitivity comparison against the raw denominator. Cross-product repeats are retained and flagged because moving a sentence between products does not establish deception.</w:t>
      </w:r>
    </w:p>
    <w:p>
      <w:pPr>
        <w:widowControl/>
        <w:spacing w:after="100" w:line="253"/>
      </w:pPr>
      <w:r>
        <w:t xml:space="preserve">Fairness to brands requires the same restraint. There are 2,776 (0.01%) retained rows with a possible memory sense of recall and 2,424 (0.01%) with return-window expiry language. These contextual flags do not clear or condemn a product. A review may mention a return deadline and a genuine reaction together. A reviewer burst, an unusually high vote count or a long narrative is also not proof of manipulation. The mitigation is human review of context, product and lot verification where possible, and reporting aggregate uncertainty rather than ranking brands as unsafe from keyword counts.</w:t>
      </w:r>
    </w:p>
    <w:p>
      <w:pPr>
        <w:widowControl/>
        <w:spacing w:after="100" w:line="253"/>
      </w:pPr>
      <w:r>
        <w:t xml:space="preserve">Licensing and consent set a separate limit. The upstream Amazon Reviews 2023 release is the identified source, but the pages checked do not establish a blanket redistribution licence for its review text. This project follows a research-use-only policy and redistributes no review text; that policy is not a claim of an additional legal grant. Public availability does not demonstrate consent to an unrelated safety study. The mitigation is data minimisation, private working copies, synthetic examples in teaching material, and a fresh rights review before any wider use. No additional contact details or reviewer profiles are sought. Personal details may remain within local free text, so pseudonymisation does not make that text safe to redistribute.</w:t>
      </w:r>
    </w:p>
    <w:p>
      <w:pPr>
        <w:widowControl/>
        <w:spacing w:after="100" w:line="253"/>
      </w:pPr>
      <w:r>
        <w:t xml:space="preserve">Label leakage can make a model look useful when it merely reproduces its labelling rules. Rating, negation cues and safety words may later construct weak labels, so evaluation must use adjudicated human labels with those sources disclosed. Product groups and repeated text must be separated across training and test sets. This pipeline creates preparation fields only; it does not train, split or claim accuracy. The Week 2 pilot kappa of 0.46 and limited human labelling remain limitations. Cleaning cannot repair that disagreement, establish clinical causation, recover omitted purchasers, or make a historical US review release representative of present-day cosmetic users.</w:t>
      </w:r>
    </w:p>
    <w:p>
      <w:pPr>
        <w:pStyle w:val="Heading1"/>
        <w:keepNext/>
        <w:widowControl/>
        <w:spacing w:after="100" w:before="220"/>
      </w:pPr>
      <w:r>
        <w:t xml:space="preserve">3. Data quality issues in public beauty and wellness data</w:t>
      </w:r>
    </w:p>
    <w:p>
      <w:pPr>
        <w:widowControl/>
        <w:spacing w:after="100" w:line="253"/>
      </w:pPr>
      <w:r>
        <w:t xml:space="preserve">Public reviews combine consumer language, platform formatting and incomplete product context. Beauty descriptions are especially ambiguous because a useful product may be praised for causing no irritation, a shade name may resemble an ordinary word, and an expired return window is different from an expired cosmetic. The measured issues below distinguish inherited raw-profile evidence from results on the retained cleaned population. They describe data quality, not confirmed safety complaints.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7"/>
        <w:gridCol w:w="2409"/>
        <w:gridCol w:w="2409"/>
        <w:gridCol w:w="3013"/>
      </w:tblGrid>
      <w:tr>
        <w:trPr>
          <w:cantSplit/>
          <w:tblHeader/>
        </w:trPr>
        <w:tc>
          <w:tcPr>
            <w:tcW w:type="dxa" w:w="1807"/>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Issue</w:t>
            </w:r>
          </w:p>
        </w:tc>
        <w:tc>
          <w:tcPr>
            <w:tcW w:type="dxa" w:w="2409"/>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Constructed pattern</w:t>
            </w:r>
          </w:p>
        </w:tc>
        <w:tc>
          <w:tcPr>
            <w:tcW w:type="dxa" w:w="2409"/>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Measured count and share</w:t>
            </w:r>
          </w:p>
        </w:tc>
        <w:tc>
          <w:tcPr>
            <w:tcW w:type="dxa" w:w="3013"/>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Why it matters</w:t>
            </w:r>
          </w:p>
        </w:tc>
      </w:tr>
      <w:tr>
        <w:trPr>
          <w:cantSplit/>
          <w:tblHeader w:val="off"/>
        </w:trPr>
        <w:tc>
          <w:tcPr>
            <w:tcW w:type="dxa" w:w="180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Raw HTML entities</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&amp;#34;no irritation&amp;#34;</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217,524 (0.91%) raw W2</w:t>
            </w:r>
          </w:p>
        </w:tc>
        <w:tc>
          <w:tcPr>
            <w:tcW w:type="dxa" w:w="301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Encoded quotation marks hide readable context.</w:t>
            </w:r>
          </w:p>
        </w:tc>
      </w:tr>
      <w:tr>
        <w:trPr>
          <w:cantSplit/>
          <w:tblHeader w:val="off"/>
        </w:trPr>
        <w:tc>
          <w:tcPr>
            <w:tcW w:type="dxa" w:w="180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Raw break tags</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gentle&lt;br /&gt;finish</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1,680,889 (7.03%) raw W2</w:t>
            </w:r>
          </w:p>
        </w:tc>
        <w:tc>
          <w:tcPr>
            <w:tcW w:type="dxa" w:w="301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Deleting tags without spaces joins words.</w:t>
            </w:r>
          </w:p>
        </w:tc>
      </w:tr>
      <w:tr>
        <w:trPr>
          <w:cantSplit/>
          <w:tblHeader w:val="off"/>
        </w:trPr>
        <w:tc>
          <w:tcPr>
            <w:tcW w:type="dxa" w:w="180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Raw video markers</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[[VIDEOID:sample]]</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200,283 (0.84%) raw W2</w:t>
            </w:r>
          </w:p>
        </w:tc>
        <w:tc>
          <w:tcPr>
            <w:tcW w:type="dxa" w:w="301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Markers are interface residue, not evidence.</w:t>
            </w:r>
          </w:p>
        </w:tc>
      </w:tr>
      <w:tr>
        <w:trPr>
          <w:cantSplit/>
          <w:tblHeader w:val="off"/>
        </w:trPr>
        <w:tc>
          <w:tcPr>
            <w:tcW w:type="dxa" w:w="180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Empty cleaned body</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Body missing after formatting removal</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44,476 (0.19%)</w:t>
            </w:r>
          </w:p>
        </w:tc>
        <w:tc>
          <w:tcPr>
            <w:tcW w:type="dxa" w:w="301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Absence must not become a negative label.</w:t>
            </w:r>
          </w:p>
        </w:tc>
      </w:tr>
      <w:tr>
        <w:trPr>
          <w:cantSplit/>
          <w:tblHeader w:val="off"/>
        </w:trPr>
        <w:tc>
          <w:tcPr>
            <w:tcW w:type="dxa" w:w="180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Short cleaned body</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Works well</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1,599,523 (6.78%)</w:t>
            </w:r>
          </w:p>
        </w:tc>
        <w:tc>
          <w:tcPr>
            <w:tcW w:type="dxa" w:w="301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Brevity often lacks enough causal context.</w:t>
            </w:r>
          </w:p>
        </w:tc>
      </w:tr>
      <w:tr>
        <w:trPr>
          <w:cantSplit/>
          <w:tblHeader w:val="off"/>
        </w:trPr>
        <w:tc>
          <w:tcPr>
            <w:tcW w:type="dxa" w:w="180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Cross-product text repeats</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Same constructed body under two products</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2,732,806 (11.59%)</w:t>
            </w:r>
          </w:p>
        </w:tc>
        <w:tc>
          <w:tcPr>
            <w:tcW w:type="dxa" w:w="301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Repeated wording can leak between splits.</w:t>
            </w:r>
          </w:p>
        </w:tc>
      </w:tr>
      <w:tr>
        <w:trPr>
          <w:cantSplit/>
          <w:tblHeader w:val="off"/>
        </w:trPr>
        <w:tc>
          <w:tcPr>
            <w:tcW w:type="dxa" w:w="180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Length outlier</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An unusually long constructed account</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83,780 (0.36%)</w:t>
            </w:r>
          </w:p>
        </w:tc>
        <w:tc>
          <w:tcPr>
            <w:tcW w:type="dxa" w:w="301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Rare detailed harm accounts may sit in the tail.</w:t>
            </w:r>
          </w:p>
        </w:tc>
      </w:tr>
      <w:tr>
        <w:trPr>
          <w:cantSplit/>
          <w:tblHeader w:val="off"/>
        </w:trPr>
        <w:tc>
          <w:tcPr>
            <w:tcW w:type="dxa" w:w="180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Vote outlier</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Very high helpful_vote</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23,581 (0.10%)</w:t>
            </w:r>
          </w:p>
        </w:tc>
        <w:tc>
          <w:tcPr>
            <w:tcW w:type="dxa" w:w="301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Popularity is not evidence of correctness.</w:t>
            </w:r>
          </w:p>
        </w:tc>
      </w:tr>
      <w:tr>
        <w:trPr>
          <w:cantSplit/>
          <w:tblHeader w:val="off"/>
        </w:trPr>
        <w:tc>
          <w:tcPr>
            <w:tcW w:type="dxa" w:w="180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Reviewer activity burst</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Many entries on one UTC day</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240,079 (1.02%)</w:t>
            </w:r>
          </w:p>
        </w:tc>
        <w:tc>
          <w:tcPr>
            <w:tcW w:type="dxa" w:w="301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Activity may distort independence assumptions.</w:t>
            </w:r>
          </w:p>
        </w:tc>
      </w:tr>
      <w:tr>
        <w:trPr>
          <w:cantSplit/>
          <w:tblHeader w:val="off"/>
        </w:trPr>
        <w:tc>
          <w:tcPr>
            <w:tcW w:type="dxa" w:w="180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Missing catalogue match</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Product key has no metadata row</w:t>
            </w:r>
          </w:p>
        </w:tc>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0 (0.00%)</w:t>
            </w:r>
          </w:p>
        </w:tc>
        <w:tc>
          <w:tcPr>
            <w:tcW w:type="dxa" w:w="3013"/>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Product interpretation may be unavailable.</w:t>
            </w:r>
          </w:p>
        </w:tc>
      </w:tr>
    </w:tbl>
    <w:p>
      <w:pPr>
        <w:widowControl/>
        <w:spacing w:after="100" w:line="253"/>
      </w:pPr>
      <w:r>
        <w:t xml:space="preserve">The raw profile's 4,035,847 non-ASCII reviews (16.88%) are not a count of non-English reviews. Accents, emoji and typographic apostrophes occur in English too. The current language step therefore reports likely non-English and unknown separately. Also, the Week 2 duplicate findings describe its keyword candidate pile; they are not extrapolated to this full-file run. Differences between raw and cleaned counts follow their stated populations and definitions, rather than implying new complaints appeared.</w:t>
      </w:r>
    </w:p>
    <w:p>
      <w:pPr>
        <w:widowControl/>
        <w:spacing w:after="100" w:line="253"/>
      </w:pPr>
      <w:r>
        <w:br w:type="page"/>
      </w:r>
    </w:p>
    <w:p>
      <w:pPr>
        <w:pStyle w:val="Heading1"/>
        <w:keepNext/>
        <w:widowControl/>
        <w:spacing w:after="100" w:before="220"/>
      </w:pPr>
      <w:r>
        <w:t xml:space="preserve">4. Pipeline flowchart</w:t>
      </w:r>
    </w:p>
    <w:p>
      <w:pPr>
        <w:widowControl/>
        <w:spacing w:after="100" w:line="253"/>
      </w:pPr>
      <w:r>
        <w:t xml:space="preserve">Figure 1 shows the logical operation order and a one-line reason for each step. Steps 1 to 4 stage normalised chunks in a private temporary directory. Disk-backed SQLite groups then provide file-wide duplicate, review-key and activity information. The final pass applies steps 5 to 11 and publishes the cleaned partitions and aggregate evidence. Global grouping prevents arbitrary chunk boundaries from changing removal or flagging decisions.</w:t>
      </w:r>
    </w:p>
    <w:p>
      <w:pPr>
        <w:jc w:val="center"/>
      </w:pPr>
      <w:r>
        <w:drawing>
          <wp:inline distT="0" distB="0" distL="0" distR="0">
            <wp:extent cx="6115050" cy="7572375"/>
            <wp:effectExtent t="0" r="0" b="0" l="0"/>
            <wp:docPr id="1" name="pipeline_flowchart.png" descr="Aggregate pipeline diagram or chart" title="pipeline_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7572375"/>
                    </a:xfrm>
                    <a:prstGeom prst="rect">
                      <a:avLst/>
                    </a:prstGeom>
                  </pic:spPr>
                </pic:pic>
              </a:graphicData>
            </a:graphic>
          </wp:inline>
        </w:drawing>
      </w:r>
    </w:p>
    <w:p>
      <w:pPr>
        <w:widowControl/>
        <w:spacing w:after="100" w:line="253"/>
      </w:pPr>
      <w:r>
        <w:t xml:space="preserve">Figure 1. Ordered preprocessing steps. Every stage logs rows in, rows out and rows flagged. Schema violations stop processing. Only exact within-product copies are removed; all subsequent stages retain their input rows. Catalogue size and shade extraction belongs to step 9, while step 11 records contextual text flags.</w:t>
      </w:r>
    </w:p>
    <w:p>
      <w:pPr>
        <w:widowControl/>
        <w:spacing w:after="100" w:line="253"/>
      </w:pPr>
      <w:r>
        <w:br w:type="page"/>
      </w:r>
    </w:p>
    <w:p>
      <w:pPr>
        <w:pStyle w:val="Heading1"/>
        <w:keepNext/>
        <w:widowControl/>
        <w:spacing w:after="100" w:before="220"/>
      </w:pPr>
      <w:r>
        <w:t xml:space="preserve">5. Step-by-step methods</w:t>
      </w:r>
    </w:p>
    <w:p>
      <w:pPr>
        <w:pStyle w:val="Heading2"/>
        <w:keepNext/>
        <w:widowControl/>
        <w:spacing w:after="100" w:before="220"/>
      </w:pPr>
      <w:r>
        <w:t xml:space="preserve">5.1 Missing values</w:t>
      </w:r>
    </w:p>
    <w:p>
      <w:pPr>
        <w:pStyle w:val="PlainTerms"/>
        <w:widowControl/>
        <w:spacing w:after="100" w:line="253"/>
      </w:pPr>
      <w:r>
        <w:t xml:space="preserve">In plain terms: Keep gaps and very short accounts visible, so missing information is never mistaken for evidence of safety.</w:t>
      </w:r>
    </w:p>
    <w:p>
      <w:pPr>
        <w:widowControl/>
        <w:spacing w:after="100" w:line="253"/>
      </w:pPr>
      <w:r>
        <w:t xml:space="preserve">Rule: fill a missing review title with the empty string and retain missing_title. Convert a missing body to the empty string, then count whitespace-separated words after decoding and normalisation. is_empty means zero words; is_short means fewer than three, including empty bodies. The measured retained results are 0 (0.00%) missing titles, 44,476 (0.19%) empty bodies and 1,599,523 (6.78%) short bodies. A title-only review is still retained. It can be inspected during annotation without pretending its body contains evidence.</w:t>
      </w:r>
    </w:p>
    <w:p>
      <w:pPr>
        <w:keepNext/>
        <w:widowControl/>
        <w:spacing w:after="0" w:line="215"/>
      </w:pPr>
      <w:r>
        <w:rPr>
          <w:rFonts w:ascii="Consolas" w:cs="Consolas" w:eastAsia="Consolas" w:hAnsi="Consolas"/>
          <w:sz w:val="17"/>
          <w:szCs w:val="17"/>
        </w:rPr>
        <w:t xml:space="preserve">df['text'] = df['text'].fillna('')</w:t>
      </w:r>
    </w:p>
    <w:p>
      <w:pPr>
        <w:keepNext/>
        <w:widowControl/>
        <w:spacing w:after="0" w:line="215"/>
      </w:pPr>
      <w:r>
        <w:rPr>
          <w:rFonts w:ascii="Consolas" w:cs="Consolas" w:eastAsia="Consolas" w:hAnsi="Consolas"/>
          <w:sz w:val="17"/>
          <w:szCs w:val="17"/>
        </w:rPr>
        <w:t xml:space="preserve">df['word_count'] = df['text'].str.count(r'\S+')</w:t>
      </w:r>
    </w:p>
    <w:p>
      <w:pPr>
        <w:keepNext/>
        <w:widowControl/>
        <w:spacing w:after="0" w:line="215"/>
      </w:pPr>
      <w:r>
        <w:rPr>
          <w:rFonts w:ascii="Consolas" w:cs="Consolas" w:eastAsia="Consolas" w:hAnsi="Consolas"/>
          <w:sz w:val="17"/>
          <w:szCs w:val="17"/>
        </w:rPr>
        <w:t xml:space="preserve">df['is_empty'] = df['word_count'].eq(0)</w:t>
      </w:r>
    </w:p>
    <w:p>
      <w:pPr>
        <w:keepNext/>
        <w:widowControl/>
        <w:spacing w:after="0" w:line="215"/>
      </w:pPr>
      <w:r>
        <w:rPr>
          <w:rFonts w:ascii="Consolas" w:cs="Consolas" w:eastAsia="Consolas" w:hAnsi="Consolas"/>
          <w:sz w:val="17"/>
          <w:szCs w:val="17"/>
        </w:rPr>
        <w:t xml:space="preserve">df['is_short'] = df['word_count'].lt(3)</w:t>
      </w:r>
    </w:p>
    <w:p>
      <w:pPr>
        <w:widowControl/>
        <w:spacing w:after="100" w:line="253"/>
      </w:pPr>
      <w:r>
        <w:t xml:space="preserve">Why: imputation by invented sentences would manufacture consumer experiences. Empty text is not equivalent to no safety complaint, and a short sentence can still describe a serious reaction. No label is inferred from either flag. Missing catalogue title, store and category remain null rather than being guessed from a product identifier or another product. The separate catalogue_missing_fields flag covers any absent field, including unmatched products. This explicit distinction preserves uncertainty for product-level analyses.</w:t>
      </w:r>
    </w:p>
    <w:p>
      <w:pPr>
        <w:widowControl/>
        <w:spacing w:after="100" w:line="253"/>
      </w:pPr>
      <w:r>
        <w:t xml:space="preserve">The catalogue join affects 1,923,776 (8.16%) retained rows through at least one missing context field. Downstream tables must report their available-metadata denominator. Grouping all absent brands into a single supposed manufacturer would create a false entity, so nulls remain visible. The tests cover missing titles and empty bodies without row loss; the catalogue test checks absent fields and unmatched keys. These choices complete the earlier promise to mark short text rather than silently remove it.</w:t>
      </w:r>
    </w:p>
    <w:p>
      <w:pPr>
        <w:pStyle w:val="Heading2"/>
        <w:keepNext/>
        <w:widowControl/>
        <w:spacing w:after="100" w:before="220"/>
      </w:pPr>
      <w:r>
        <w:t xml:space="preserve">5.2 Outliers</w:t>
      </w:r>
    </w:p>
    <w:p>
      <w:pPr>
        <w:pStyle w:val="PlainTerms"/>
        <w:widowControl/>
        <w:spacing w:after="100" w:line="253"/>
      </w:pPr>
      <w:r>
        <w:t xml:space="preserve">In plain terms: Mark unusually long reviews, high vote counts or bursts of activity for inspection, while keeping potentially useful accounts.</w:t>
      </w:r>
    </w:p>
    <w:p>
      <w:pPr>
        <w:widowControl/>
        <w:spacing w:after="100" w:line="253"/>
      </w:pPr>
      <w:r>
        <w:t xml:space="preserve">Rule: compute log1p(word_count), then the first and third quartiles across all retained rows. Mark values outside Q1 minus 1.5 IQR or Q3 plus 1.5 IQR. The measured log-scale bounds are 0.114663 and 5.949123; 83,780 (0.36%) retained rows are flagged. The log transform reduces a long right tail while remaining defined for empty bodies. Exact integer histograms recover NumPy's linear quantile convention without loading every review into memory.</w:t>
      </w:r>
    </w:p>
    <w:p>
      <w:pPr>
        <w:keepNext/>
        <w:widowControl/>
        <w:spacing w:after="0" w:line="215"/>
      </w:pPr>
      <w:r>
        <w:rPr>
          <w:rFonts w:ascii="Consolas" w:cs="Consolas" w:eastAsia="Consolas" w:hAnsi="Consolas"/>
          <w:sz w:val="17"/>
          <w:szCs w:val="17"/>
        </w:rPr>
        <w:t xml:space="preserve">length = np.log1p(df['word_count'])</w:t>
      </w:r>
    </w:p>
    <w:p>
      <w:pPr>
        <w:keepNext/>
        <w:widowControl/>
        <w:spacing w:after="0" w:line="215"/>
      </w:pPr>
      <w:r>
        <w:rPr>
          <w:rFonts w:ascii="Consolas" w:cs="Consolas" w:eastAsia="Consolas" w:hAnsi="Consolas"/>
          <w:sz w:val="17"/>
          <w:szCs w:val="17"/>
        </w:rPr>
        <w:t xml:space="preserve">q1, q3 = length.quantile([0.25, 0.75])</w:t>
      </w:r>
    </w:p>
    <w:p>
      <w:pPr>
        <w:keepNext/>
        <w:widowControl/>
        <w:spacing w:after="0" w:line="215"/>
      </w:pPr>
      <w:r>
        <w:rPr>
          <w:rFonts w:ascii="Consolas" w:cs="Consolas" w:eastAsia="Consolas" w:hAnsi="Consolas"/>
          <w:sz w:val="17"/>
          <w:szCs w:val="17"/>
        </w:rPr>
        <w:t xml:space="preserve">flag = (length &lt; q1-1.5*(q3-q1)) | (length &gt; q3+1.5*(q3-q1))</w:t>
      </w:r>
    </w:p>
    <w:p>
      <w:pPr>
        <w:widowControl/>
        <w:spacing w:after="100" w:line="253"/>
      </w:pPr>
      <w:r>
        <w:t xml:space="preserve">For helpful votes, keep the original count and derive helpful_log1p. The global 99.9th percentile is 95.000 votes; the strict greater-than rule flags 23,581 (0.10%). Ties at the cutoff mean the flagged share need not equal exactly 0.1 percent. A reviewer burst means at least 10 retained reviews by the same reviewer on the same UTC day, flagging 240,079 (1.02%). The threshold identifies activity for inspection.</w:t>
      </w:r>
    </w:p>
    <w:p>
      <w:pPr>
        <w:widowControl/>
        <w:spacing w:after="100" w:line="253"/>
      </w:pPr>
      <w:r>
        <w:t xml:space="preserve">Parseable timestamps outside 1 May 1996 inclusive to 1 October 2023 exclusive are marked, using the release's documented overall window. The result is 0 (0.00%). An unparseable timestamp is a schema error rather than this softer flag. Long reviews, popular helpful reviews and prolific reviewers remain in the output because deleting them could remove detailed safety accounts. The synthetic outlier test checks extreme dates, votes and daily counts while asserting that the input population is retained.</w:t>
      </w:r>
    </w:p>
    <w:p>
      <w:pPr>
        <w:pStyle w:val="Heading2"/>
        <w:keepNext/>
        <w:widowControl/>
        <w:spacing w:after="100" w:before="220"/>
      </w:pPr>
      <w:r>
        <w:t xml:space="preserve">5.3 Inconsistencies and standardisation</w:t>
      </w:r>
    </w:p>
    <w:p>
      <w:pPr>
        <w:pStyle w:val="PlainTerms"/>
        <w:widowControl/>
        <w:spacing w:after="100" w:line="253"/>
      </w:pPr>
      <w:r>
        <w:t xml:space="preserve">In plain terms: Check required values, tidy web formatting and align dates, so comparable records mean the same thing.</w:t>
      </w:r>
    </w:p>
    <w:p>
      <w:pPr>
        <w:widowControl/>
        <w:spacing w:after="100" w:line="253"/>
      </w:pPr>
      <w:r>
        <w:t xml:space="preserve">Rule: validate the required review fields before changing values. Rating must be an integer from 1 to 5, helpful_vote a non-negative integer, and timestamp a finite integer number of milliseconds that parses to UTC. Reviewer and product identifiers must be non-empty strings. Title and body may be null but must otherwise be strings. Required columns cannot be omitted. A ValueError reports field-level violation counts without printing review contents. Missing files raise FileNotFoundError; a pre-existing cleaned destination raises FileExistsError to prevent accidental replacement.</w:t>
      </w:r>
    </w:p>
    <w:p>
      <w:pPr>
        <w:widowControl/>
        <w:spacing w:after="100" w:line="253"/>
      </w:pPr>
      <w:r>
        <w:t xml:space="preserve">Next decode HTML entities with html.unescape, replace each break tag with a space, and remove the bracketed video marker with a space. The decode stage changes 2,026,844 input rows. Normalise text and title to Unicode NFC, collapse whitespace and trim its ends; this changes 5,015,148 input rows. Keep case, accents and punctuation. These changes preserve meaning, including negation.</w:t>
      </w:r>
    </w:p>
    <w:p>
      <w:pPr>
        <w:keepNext/>
        <w:widowControl/>
        <w:spacing w:after="0" w:line="215"/>
      </w:pPr>
      <w:r>
        <w:rPr>
          <w:rFonts w:ascii="Consolas" w:cs="Consolas" w:eastAsia="Consolas" w:hAnsi="Consolas"/>
          <w:sz w:val="17"/>
          <w:szCs w:val="17"/>
        </w:rPr>
        <w:t xml:space="preserve">text = html.unescape(text)</w:t>
      </w:r>
    </w:p>
    <w:p>
      <w:pPr>
        <w:keepNext/>
        <w:widowControl/>
        <w:spacing w:after="0" w:line="215"/>
      </w:pPr>
      <w:r>
        <w:rPr>
          <w:rFonts w:ascii="Consolas" w:cs="Consolas" w:eastAsia="Consolas" w:hAnsi="Consolas"/>
          <w:sz w:val="17"/>
          <w:szCs w:val="17"/>
        </w:rPr>
        <w:t xml:space="preserve">text = re.sub(r'&lt;br\s*/?&gt;', ' ', text, flags=re.I)</w:t>
      </w:r>
    </w:p>
    <w:p>
      <w:pPr>
        <w:keepNext/>
        <w:widowControl/>
        <w:spacing w:after="0" w:line="215"/>
      </w:pPr>
      <w:r>
        <w:rPr>
          <w:rFonts w:ascii="Consolas" w:cs="Consolas" w:eastAsia="Consolas" w:hAnsi="Consolas"/>
          <w:sz w:val="17"/>
          <w:szCs w:val="17"/>
        </w:rPr>
        <w:t xml:space="preserve">text = unicodedata.normalize('NFC', text)</w:t>
      </w:r>
    </w:p>
    <w:p>
      <w:pPr>
        <w:keepNext/>
        <w:widowControl/>
        <w:spacing w:after="0" w:line="215"/>
      </w:pPr>
      <w:r>
        <w:rPr>
          <w:rFonts w:ascii="Consolas" w:cs="Consolas" w:eastAsia="Consolas" w:hAnsi="Consolas"/>
          <w:sz w:val="17"/>
          <w:szCs w:val="17"/>
        </w:rPr>
        <w:t xml:space="preserve">text = ' '.join(text.split())</w:t>
      </w:r>
    </w:p>
    <w:p>
      <w:pPr>
        <w:widowControl/>
        <w:spacing w:after="100" w:line="253"/>
      </w:pPr>
      <w:r>
        <w:t xml:space="preserve">Finally convert epoch milliseconds using pd.to_datetime with unit="ms" and utc=True. Derive an ISO UTC date, year and a quarter label such as 2021Q1. Keeping the instant as well as the calendar period prevents an unexplained local timezone from shifting a review across a recall boundary. No days-to-recall feature is invented here: the recall date must first be matched and verified in the later exploratory analysis. The date test checks both the UTC timezone and the derived quarter.</w:t>
      </w:r>
    </w:p>
    <w:p>
      <w:pPr>
        <w:pStyle w:val="Heading2"/>
        <w:keepNext/>
        <w:widowControl/>
        <w:spacing w:after="100" w:before="220"/>
      </w:pPr>
      <w:r>
        <w:t xml:space="preserve">5.4 Duplicates and review-key investigation</w:t>
      </w:r>
    </w:p>
    <w:p>
      <w:pPr>
        <w:pStyle w:val="PlainTerms"/>
        <w:widowControl/>
        <w:spacing w:after="100" w:line="253"/>
      </w:pPr>
      <w:r>
        <w:t xml:space="preserve">In plain terms: Count identical product copies once and flag other repetition, so repeated wording does not quietly inflate the evidence.</w:t>
      </w:r>
    </w:p>
    <w:p>
      <w:pPr>
        <w:widowControl/>
        <w:spacing w:after="100" w:line="253"/>
      </w:pPr>
      <w:r>
        <w:t xml:space="preserve">Rule: compare normalised parent_asin, title and body; keep the first occurrence in source order. This removes 328,279 rows (1.37% of input). The rule intentionally ignores reviewer identity and rating when the product and wording are identical. That matches the earlier proposed labelling deduplication unit but can collapse legitimate repeated short opinions. Its impact is therefore audited by rating in Section 2, and the unmodified raw file remains the reference for sensitivity checks.</w:t>
      </w:r>
    </w:p>
    <w:p>
      <w:pPr>
        <w:widowControl/>
        <w:spacing w:after="100" w:line="253"/>
      </w:pPr>
      <w:r>
        <w:t xml:space="preserve">A non-empty body seen under multiple parent products is flagged even if the titles differ. This body-only definition is broader than Week 2's title-and-body comparison. It identifies 272,792 text groups and 2,732,806 (11.59%) retained reviews. They are kept, since repetition across different products needs investigation rather than automatic erasure. SQLite groups operate over the entire file. A memory-only set for the current chunk would miss repeats separated by millions of rows.</w:t>
      </w:r>
    </w:p>
    <w:p>
      <w:pPr>
        <w:widowControl/>
        <w:spacing w:after="100" w:line="253"/>
      </w:pPr>
      <w:r>
        <w:t xml:space="preserve">The review-key audit uses the same underlying reviewer, variant asin and millisecond timestamp tuple as the earlier notebook, now protected with HMAC-SHA256 instead of a short plain SHA1 key. It finds 207,189 repeated tuple groups, 449,715 affected input rows and 242,526 rows beyond each group's first. Of those groups, 2 contain different normalised product/title/body combinations. Therefore the key is not assumed unique: conflicting content remains unless the separate exact-copy rule removes it.</w:t>
      </w:r>
    </w:p>
    <w:p>
      <w:pPr>
        <w:keepNext/>
        <w:widowControl/>
        <w:spacing w:after="0" w:line="215"/>
      </w:pPr>
      <w:r>
        <w:rPr>
          <w:rFonts w:ascii="Consolas" w:cs="Consolas" w:eastAsia="Consolas" w:hAnsi="Consolas"/>
          <w:sz w:val="17"/>
          <w:szCs w:val="17"/>
        </w:rPr>
        <w:t xml:space="preserve">df = df.drop_duplicates(['parent_asin', 'title', 'text'], keep='first')</w:t>
      </w:r>
    </w:p>
    <w:p>
      <w:pPr>
        <w:keepNext/>
        <w:widowControl/>
        <w:spacing w:after="0" w:line="215"/>
      </w:pPr>
      <w:r>
        <w:rPr>
          <w:rFonts w:ascii="Consolas" w:cs="Consolas" w:eastAsia="Consolas" w:hAnsi="Consolas"/>
          <w:sz w:val="17"/>
          <w:szCs w:val="17"/>
        </w:rPr>
        <w:t xml:space="preserve"># Cross-product flags and key audits use file-wide SQL groups.</w:t>
      </w:r>
    </w:p>
    <w:p>
      <w:pPr>
        <w:widowControl/>
        <w:spacing w:after="100" w:line="253"/>
      </w:pPr>
      <w:r>
        <w:t xml:space="preserve">A retained review_key is a grouping key, not a guaranteed primary key. Source order and partition position can distinguish retained conflicting records when necessary; no new public linkage table is published. The person running the pipeline who reconnects the pilot labels must recompute the earlier tuple mapping privately rather than join the new HMAC string directly to the old shortened hash. Tests place duplicates and conflicting keys in different chunks and compare their complete outputs against a single-chunk run.</w:t>
      </w:r>
    </w:p>
    <w:p>
      <w:pPr>
        <w:pStyle w:val="Heading2"/>
        <w:keepNext/>
        <w:widowControl/>
        <w:spacing w:after="100" w:before="220"/>
      </w:pPr>
      <w:r>
        <w:t xml:space="preserve">5.5 Language identification</w:t>
      </w:r>
    </w:p>
    <w:p>
      <w:pPr>
        <w:pStyle w:val="PlainTerms"/>
        <w:widowControl/>
        <w:spacing w:after="100" w:line="253"/>
      </w:pPr>
      <w:r>
        <w:t xml:space="preserve">In plain terms: Mark text that may need language support, so uncertain wording stays available without pretending the guess is reliable.</w:t>
      </w:r>
    </w:p>
    <w:p>
      <w:pPr>
        <w:widowControl/>
        <w:spacing w:after="100" w:line="253"/>
      </w:pPr>
      <w:r>
        <w:t xml:space="preserve">Neither langdetect nor fastText is installed, and no cached distribution for them was found for an offline install. The implemented fallback uses the ASCII-letter share among Unicode letters plus explicit English and Spanish, French, German and Portuguese cue lists. It marks likely_non_en when the ASCII-letter ratio is below 0.5, or when at least two other-language cues occur with fewer than two English cues. Likely English requires a ratio of at least 0.9 and an English cue. Everything else is unknown. The result is 125,117 (0.53%) likely non-English and 1,137,171 (4.82%) unknown.</w:t>
      </w:r>
    </w:p>
    <w:p>
      <w:pPr>
        <w:keepNext/>
        <w:widowControl/>
        <w:spacing w:after="0" w:line="215"/>
      </w:pPr>
      <w:r>
        <w:rPr>
          <w:rFonts w:ascii="Consolas" w:cs="Consolas" w:eastAsia="Consolas" w:hAnsi="Consolas"/>
          <w:sz w:val="17"/>
          <w:szCs w:val="17"/>
        </w:rPr>
        <w:t xml:space="preserve">ratio = ascii_letters.div(unicode_letters.replace(0, np.nan)).fillna(0)</w:t>
      </w:r>
    </w:p>
    <w:p>
      <w:pPr>
        <w:keepNext/>
        <w:widowControl/>
        <w:spacing w:after="0" w:line="215"/>
      </w:pPr>
      <w:r>
        <w:rPr>
          <w:rFonts w:ascii="Consolas" w:cs="Consolas" w:eastAsia="Consolas" w:hAnsi="Consolas"/>
          <w:sz w:val="17"/>
          <w:szCs w:val="17"/>
        </w:rPr>
        <w:t xml:space="preserve">non_en = (ratio &lt; 0.5) | ((other_cues &gt;= 2) &amp; (en_cues &lt; 2))</w:t>
      </w:r>
    </w:p>
    <w:p>
      <w:pPr>
        <w:keepNext/>
        <w:widowControl/>
        <w:spacing w:after="0" w:line="215"/>
      </w:pPr>
      <w:r>
        <w:rPr>
          <w:rFonts w:ascii="Consolas" w:cs="Consolas" w:eastAsia="Consolas" w:hAnsi="Consolas"/>
          <w:sz w:val="17"/>
          <w:szCs w:val="17"/>
        </w:rPr>
        <w:t xml:space="preserve"># Retain likely_en, likely_non_en and unknown rows alike.</w:t>
      </w:r>
    </w:p>
    <w:p>
      <w:pPr>
        <w:widowControl/>
        <w:spacing w:after="100" w:line="253"/>
      </w:pPr>
      <w:r>
        <w:t xml:space="preserve">Transliteration, mixed languages, product names, loan words and short sentences can defeat it. An ASCII Spanish sentence can be non-English, while an accented English sentence can be English. The Unicode letter count explicitly uses Python string storage because Arrow regular expressions treat word characters differently. The tests include English, Chinese, Spanish and uncertain empty or opaque strings. A future validated detector should be compared on a manually checked multilingual sample before changing eligibility.</w:t>
      </w:r>
    </w:p>
    <w:p>
      <w:pPr>
        <w:pStyle w:val="Heading2"/>
        <w:keepNext/>
        <w:widowControl/>
        <w:spacing w:after="100" w:before="220"/>
      </w:pPr>
      <w:r>
        <w:t xml:space="preserve">5.6 Domain-specific cleaning</w:t>
      </w:r>
    </w:p>
    <w:p>
      <w:pPr>
        <w:pStyle w:val="PlainTerms"/>
        <w:widowControl/>
        <w:spacing w:after="100" w:line="253"/>
      </w:pPr>
      <w:r>
        <w:t xml:space="preserve">In plain terms: Keep words such as no and distinguish memory or return deadlines from safety claims, so cleaning preserves the account.</w:t>
      </w:r>
    </w:p>
    <w:p>
      <w:pPr>
        <w:keepNext/>
        <w:widowControl/>
        <w:spacing w:after="0" w:line="215"/>
      </w:pPr>
      <w:r>
        <w:rPr>
          <w:rFonts w:ascii="Consolas" w:cs="Consolas" w:eastAsia="Consolas" w:hAnsi="Consolas"/>
          <w:sz w:val="17"/>
          <w:szCs w:val="17"/>
        </w:rPr>
        <w:t xml:space="preserve">text = df['title'] + ' ' + df['text']</w:t>
      </w:r>
    </w:p>
    <w:p>
      <w:pPr>
        <w:keepNext/>
        <w:widowControl/>
        <w:spacing w:after="0" w:line="215"/>
      </w:pPr>
      <w:r>
        <w:rPr>
          <w:rFonts w:ascii="Consolas" w:cs="Consolas" w:eastAsia="Consolas" w:hAnsi="Consolas"/>
          <w:sz w:val="17"/>
          <w:szCs w:val="17"/>
        </w:rPr>
        <w:t xml:space="preserve">pattern = r"(?i)\b(?:no|not|never|without)\b|n['’]t\b"</w:t>
      </w:r>
    </w:p>
    <w:p>
      <w:pPr>
        <w:keepNext/>
        <w:widowControl/>
        <w:spacing w:after="0" w:line="215"/>
      </w:pPr>
      <w:r>
        <w:rPr>
          <w:rFonts w:ascii="Consolas" w:cs="Consolas" w:eastAsia="Consolas" w:hAnsi="Consolas"/>
          <w:sz w:val="17"/>
          <w:szCs w:val="17"/>
        </w:rPr>
        <w:t xml:space="preserve">df['has_negation'] = text.str.contains(pattern, regex=True)</w:t>
      </w:r>
    </w:p>
    <w:p>
      <w:pPr>
        <w:keepNext/>
        <w:widowControl/>
        <w:spacing w:after="0" w:line="215"/>
      </w:pPr>
      <w:r>
        <w:rPr>
          <w:rFonts w:ascii="Consolas" w:cs="Consolas" w:eastAsia="Consolas" w:hAnsi="Consolas"/>
          <w:sz w:val="17"/>
          <w:szCs w:val="17"/>
        </w:rPr>
        <w:t xml:space="preserve"># Contextual flags guide inspection; they do not assign labels.</w:t>
      </w:r>
    </w:p>
    <w:p>
      <w:pPr>
        <w:widowControl/>
        <w:spacing w:after="100" w:line="253"/>
      </w:pPr>
      <w:r>
        <w:t xml:space="preserve">Negation preservation is the main beauty-domain safeguard. Decode the constructed input &amp;#34;no irritation&amp;#34; to literal quotation marks while keeping no; retain not, never, without and n't forms as well. No stopword removal, punctuation stripping, stemming or blanket lowercasing is applied to review text. The has_negation cue occurs in 10,331,715 (43.81%) retained rows. It records possible context for an annotator or labelling rule; it does not resolve how far a negation extends or which product the sentence concerns.</w:t>
      </w:r>
    </w:p>
    <w:p>
      <w:pPr>
        <w:widowControl/>
        <w:spacing w:after="100" w:line="253"/>
      </w:pPr>
      <w:r>
        <w:t xml:space="preserve">Safety-word false friends receive flags rather than replacements. The recall rule marks memory constructions such as the synthetic phrase I recall using this. The expiry rule marks a return or refund cue within a limited character window of an expiry cue. Their measured counts are 2,776 (0.01%) and 2,424 (0.01%), respectively. The patterns extend the Week 2 recall and expired vocabulary while explicitly retaining the possibility of mixed contexts.</w:t>
      </w:r>
    </w:p>
    <w:p>
      <w:pPr>
        <w:widowControl/>
        <w:spacing w:after="100" w:line="253"/>
      </w:pPr>
      <w:r>
        <w:t xml:space="preserve">Catalogue enrichment adds a small, reversible size and shade treatment. Parse the first stated ml, fl oz or g amount from a catalogue title. Convert US fluid ounces to millilitres with 29.5735295625 ml per fluid ounce; keep grams in a separate field because mass cannot become volume without density. Extract an explicit shade marker using a conservative pattern and casefold only that derived value. Size information is available for 3,875,104 (16.43%) retained review rows and an explicit shade for 92,292 (0.39%). These are review-weighted availability counts, not distinct product totals.</w:t>
      </w:r>
    </w:p>
    <w:p>
      <w:pPr>
        <w:widowControl/>
        <w:spacing w:after="100" w:line="253"/>
      </w:pPr>
      <w:r>
        <w:t xml:space="preserve">The original catalogue title is retained beside a Unicode and whitespace normalised title. Extracted amounts do not determine pack count, multi-size bundles or whether a bare oz denotes mass. Such ambiguous titles remain available for manual product matching. Shade extraction is a candidate aid, not a complete vocabulary: variants and translated colour names need later validation. A synthetic catalogue test verifies fluid-ounce conversion, gram separation and shade extraction. Together these choices protect the complaint meaning while making common beauty attributes easier to inspect.</w:t>
      </w:r>
    </w:p>
    <w:p>
      <w:pPr>
        <w:pStyle w:val="Heading1"/>
        <w:keepNext/>
        <w:widowControl/>
        <w:spacing w:after="100" w:before="220"/>
      </w:pPr>
      <w:r>
        <w:t xml:space="preserve">6. Tools and why they are suitable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3855"/>
        <w:gridCol w:w="3856"/>
      </w:tblGrid>
      <w:tr>
        <w:trPr>
          <w:cantSplit/>
          <w:tblHeader/>
        </w:trPr>
        <w:tc>
          <w:tcPr>
            <w:tcW w:type="dxa" w:w="1927"/>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Tool</w:t>
            </w:r>
          </w:p>
        </w:tc>
        <w:tc>
          <w:tcPr>
            <w:tcW w:type="dxa" w:w="3855"/>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Role and suitability</w:t>
            </w:r>
          </w:p>
        </w:tc>
        <w:tc>
          <w:tcPr>
            <w:tcW w:type="dxa" w:w="3856"/>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Alternative rejected or deferred</w:t>
            </w:r>
          </w:p>
        </w:tc>
      </w:tr>
      <w:tr>
        <w:trPr>
          <w:cantSplit/>
          <w:tblHeader w:val="off"/>
        </w:trPr>
        <w:tc>
          <w:tcPr>
            <w:tcW w:type="dxa" w:w="192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pandas 3.0.3</w:t>
            </w:r>
          </w:p>
        </w:tc>
        <w:tc>
          <w:tcPr>
            <w:tcW w:type="dxa" w:w="385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Chunked JSON input; nullable tables, string flags, UTC dates and validated joins.</w:t>
            </w:r>
          </w:p>
        </w:tc>
        <w:tc>
          <w:tcPr>
            <w:tcW w:type="dxa" w:w="3856"/>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Loading the whole review file into one frame would exceed a modest working set.</w:t>
            </w:r>
          </w:p>
        </w:tc>
      </w:tr>
      <w:tr>
        <w:trPr>
          <w:cantSplit/>
          <w:tblHeader w:val="off"/>
        </w:trPr>
        <w:tc>
          <w:tcPr>
            <w:tcW w:type="dxa" w:w="192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NumPy 2.4.6</w:t>
            </w:r>
          </w:p>
        </w:tc>
        <w:tc>
          <w:tcPr>
            <w:tcW w:type="dxa" w:w="385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Stable log1p transforms and exact linear quantile interpolation from histograms.</w:t>
            </w:r>
          </w:p>
        </w:tc>
        <w:tc>
          <w:tcPr>
            <w:tcW w:type="dxa" w:w="3856"/>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Raw-scale Gaussian cutoffs poorly describe skewed lengths and votes.</w:t>
            </w:r>
          </w:p>
        </w:tc>
      </w:tr>
      <w:tr>
        <w:trPr>
          <w:cantSplit/>
          <w:tblHeader w:val="off"/>
        </w:trPr>
        <w:tc>
          <w:tcPr>
            <w:tcW w:type="dxa" w:w="192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re</w:t>
            </w:r>
          </w:p>
        </w:tc>
        <w:tc>
          <w:tcPr>
            <w:tcW w:type="dxa" w:w="385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Unicode letter counting uses Python regex inside pandas. The examples show re.sub for standalone formatting.</w:t>
            </w:r>
          </w:p>
        </w:tc>
        <w:tc>
          <w:tcPr>
            <w:tcW w:type="dxa" w:w="3856"/>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A separate parser or NLP framework is unnecessary for these narrow rules.</w:t>
            </w:r>
          </w:p>
        </w:tc>
      </w:tr>
      <w:tr>
        <w:trPr>
          <w:cantSplit/>
          <w:tblHeader w:val="off"/>
        </w:trPr>
        <w:tc>
          <w:tcPr>
            <w:tcW w:type="dxa" w:w="192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html</w:t>
            </w:r>
          </w:p>
        </w:tc>
        <w:tc>
          <w:tcPr>
            <w:tcW w:type="dxa" w:w="385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Standard entity decoding with unescape.</w:t>
            </w:r>
          </w:p>
        </w:tc>
        <w:tc>
          <w:tcPr>
            <w:tcW w:type="dxa" w:w="3856"/>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Manual replacement lists miss numeric entities and uncommon codes.</w:t>
            </w:r>
          </w:p>
        </w:tc>
      </w:tr>
      <w:tr>
        <w:trPr>
          <w:cantSplit/>
          <w:tblHeader w:val="off"/>
        </w:trPr>
        <w:tc>
          <w:tcPr>
            <w:tcW w:type="dxa" w:w="192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unicodedata</w:t>
            </w:r>
          </w:p>
        </w:tc>
        <w:tc>
          <w:tcPr>
            <w:tcW w:type="dxa" w:w="385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NFC preserves readable characters while standardising equivalent sequences.</w:t>
            </w:r>
          </w:p>
        </w:tc>
        <w:tc>
          <w:tcPr>
            <w:tcW w:type="dxa" w:w="3856"/>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ASCII transliteration would erase accents and language evidence.</w:t>
            </w:r>
          </w:p>
        </w:tc>
      </w:tr>
      <w:tr>
        <w:trPr>
          <w:cantSplit/>
          <w:tblHeader w:val="off"/>
        </w:trPr>
        <w:tc>
          <w:tcPr>
            <w:tcW w:type="dxa" w:w="192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hashlib and hmac</w:t>
            </w:r>
          </w:p>
        </w:tc>
        <w:tc>
          <w:tcPr>
            <w:tcW w:type="dxa" w:w="385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SHA256 file fingerprints and keyed reviewer pseudonyms.</w:t>
            </w:r>
          </w:p>
        </w:tc>
        <w:tc>
          <w:tcPr>
            <w:tcW w:type="dxa" w:w="3856"/>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Plain hashes permit matching by recomputing candidate identifiers.</w:t>
            </w:r>
          </w:p>
        </w:tc>
      </w:tr>
      <w:tr>
        <w:trPr>
          <w:cantSplit/>
          <w:tblHeader w:val="off"/>
        </w:trPr>
        <w:tc>
          <w:tcPr>
            <w:tcW w:type="dxa" w:w="192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sqlite3</w:t>
            </w:r>
          </w:p>
        </w:tc>
        <w:tc>
          <w:tcPr>
            <w:tcW w:type="dxa" w:w="385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Disk-backed exact grouping across every chunk.</w:t>
            </w:r>
          </w:p>
        </w:tc>
        <w:tc>
          <w:tcPr>
            <w:tcW w:type="dxa" w:w="3856"/>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Chunk-local deduplication changes results with partition boundaries.</w:t>
            </w:r>
          </w:p>
        </w:tc>
      </w:tr>
      <w:tr>
        <w:trPr>
          <w:cantSplit/>
          <w:tblHeader w:val="off"/>
        </w:trPr>
        <w:tc>
          <w:tcPr>
            <w:tcW w:type="dxa" w:w="192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pytest 9.0.3</w:t>
            </w:r>
          </w:p>
        </w:tc>
        <w:tc>
          <w:tcPr>
            <w:tcW w:type="dxa" w:w="385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Offline synthetic checks for every cleaning step and integrated runs.</w:t>
            </w:r>
          </w:p>
        </w:tc>
        <w:tc>
          <w:tcPr>
            <w:tcW w:type="dxa" w:w="3856"/>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Testing only on private real text would be difficult to share and reproduce.</w:t>
            </w:r>
          </w:p>
        </w:tc>
      </w:tr>
      <w:tr>
        <w:trPr>
          <w:cantSplit/>
          <w:tblHeader w:val="off"/>
        </w:trPr>
        <w:tc>
          <w:tcPr>
            <w:tcW w:type="dxa" w:w="192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langdetect / fastText</w:t>
            </w:r>
          </w:p>
        </w:tc>
        <w:tc>
          <w:tcPr>
            <w:tcW w:type="dxa" w:w="385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Not installed; documented deterministic proxy used instead.</w:t>
            </w:r>
          </w:p>
        </w:tc>
        <w:tc>
          <w:tcPr>
            <w:tcW w:type="dxa" w:w="3856"/>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An uncached dependency or downloaded language model would break offline execution.</w:t>
            </w:r>
          </w:p>
        </w:tc>
      </w:tr>
      <w:tr>
        <w:trPr>
          <w:cantSplit/>
          <w:tblHeader w:val="off"/>
        </w:trPr>
        <w:tc>
          <w:tcPr>
            <w:tcW w:type="dxa" w:w="1927"/>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pyarrow 23.0.1</w:t>
            </w:r>
          </w:p>
        </w:tc>
        <w:tc>
          <w:tcPr>
            <w:tcW w:type="dxa" w:w="385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Installed optional Parquet engine for compressed typed partitions.</w:t>
            </w:r>
          </w:p>
        </w:tc>
        <w:tc>
          <w:tcPr>
            <w:tcW w:type="dxa" w:w="3856"/>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CSV gzip remains a supported, tested fallback when Parquet is unavailable.</w:t>
            </w:r>
          </w:p>
        </w:tc>
      </w:tr>
    </w:tbl>
    <w:p>
      <w:pPr>
        <w:widowControl/>
        <w:spacing w:after="100" w:line="253"/>
      </w:pPr>
      <w:r>
        <w:t xml:space="preserve">The standard library covers decoding, Unicode, regular expressions, keyed hashing, compressed input and disk grouping, so no cleaning framework is introduced. pandas provides the DataFrame interface required by the brief; each public step accepts and returns a frame. NumPy supplies numerical operations with an explicit convention rather than approximate per-chunk thresholds. Parquet retains booleans, timestamps and nullable metadata without requiring manual CSV reconstruction. The fallback preserves content but CSV readers must restore null and date types deliberately.</w:t>
      </w:r>
    </w:p>
    <w:p>
      <w:pPr>
        <w:widowControl/>
        <w:spacing w:after="100" w:line="253"/>
      </w:pPr>
      <w:r>
        <w:t xml:space="preserve">Language inference is deliberately the least authoritative tool in this table. Installing a model would not, by itself, make the resulting decisions accurate for beauty reviews. What is missing is validation on this domain and its short, multilingual text. The choice therefore remains visible in the saved metrics and in Section 2. The report builder uses the existing docx JavaScript package, with Calibri text, A4 pages and shaded table headers consistent with the earlier report. Figures use matplotlib and aggregate measurements only.</w:t>
      </w:r>
    </w:p>
    <w:p>
      <w:pPr>
        <w:pStyle w:val="Heading1"/>
        <w:keepNext/>
        <w:widowControl/>
        <w:spacing w:after="100" w:before="220"/>
      </w:pPr>
      <w:r>
        <w:t xml:space="preserve">7. Reproducibility</w:t>
      </w:r>
    </w:p>
    <w:p>
      <w:pPr>
        <w:widowControl/>
        <w:spacing w:after="100" w:line="253"/>
      </w:pPr>
      <w:r>
        <w:t xml:space="preserve">The run reads 23,911,390 input rows in chunks of 100,000 and writes parquet partitions under data/processed/cleaned/. The elapsed pipeline time recorded before fingerprinting is 4,753.68 seconds. Raw files are opened read-only and are never edited. Private temporary staging files and the SQLite audit are deleted after completion, including after handled failures. A completed cleaned destination is not overwritten: use a fresh output directory for a repeat or comparison run. Aggregate evidence is published only after the final processing pass succeeds.</w:t>
      </w:r>
    </w:p>
    <w:p>
      <w:pPr>
        <w:widowControl/>
        <w:spacing w:after="100" w:line="253"/>
      </w:pPr>
      <w:r>
        <w:t xml:space="preserve">The full file completed through the normal module command in one uninterrupted run. The saved step log, per-flag metrics and rating audit describe that run. No sampled or partially completed output is used as published evidence.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5"/>
        <w:gridCol w:w="2224"/>
        <w:gridCol w:w="2224"/>
        <w:gridCol w:w="2225"/>
      </w:tblGrid>
      <w:tr>
        <w:trPr>
          <w:cantSplit/>
          <w:tblHeader/>
        </w:trPr>
        <w:tc>
          <w:tcPr>
            <w:tcW w:type="dxa" w:w="2965"/>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Step</w:t>
            </w:r>
          </w:p>
        </w:tc>
        <w:tc>
          <w:tcPr>
            <w:tcW w:type="dxa" w:w="2224"/>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Rows in</w:t>
            </w:r>
          </w:p>
        </w:tc>
        <w:tc>
          <w:tcPr>
            <w:tcW w:type="dxa" w:w="2224"/>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Rows out</w:t>
            </w:r>
          </w:p>
        </w:tc>
        <w:tc>
          <w:tcPr>
            <w:tcW w:type="dxa" w:w="2225"/>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Rows flagged</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schema</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23,911,390</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23,911,390</w:t>
            </w:r>
          </w:p>
        </w:tc>
        <w:tc>
          <w:tcPr>
            <w:tcW w:type="dxa" w:w="222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0</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decode_html</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23,911,390</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23,911,390</w:t>
            </w:r>
          </w:p>
        </w:tc>
        <w:tc>
          <w:tcPr>
            <w:tcW w:type="dxa" w:w="222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2,026,844</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normalise</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23,911,390</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23,911,390</w:t>
            </w:r>
          </w:p>
        </w:tc>
        <w:tc>
          <w:tcPr>
            <w:tcW w:type="dxa" w:w="222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5,015,148</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missing</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23,911,390</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23,911,390</w:t>
            </w:r>
          </w:p>
        </w:tc>
        <w:tc>
          <w:tcPr>
            <w:tcW w:type="dxa" w:w="222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1,691,967</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duplicates</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23,911,390</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23,583,111</w:t>
            </w:r>
          </w:p>
        </w:tc>
        <w:tc>
          <w:tcPr>
            <w:tcW w:type="dxa" w:w="222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3,243,094</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outliers</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23,583,111</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23,583,111</w:t>
            </w:r>
          </w:p>
        </w:tc>
        <w:tc>
          <w:tcPr>
            <w:tcW w:type="dxa" w:w="222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344,781</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language</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23,583,111</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23,583,111</w:t>
            </w:r>
          </w:p>
        </w:tc>
        <w:tc>
          <w:tcPr>
            <w:tcW w:type="dxa" w:w="222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1,262,288</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utc_dates</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23,583,111</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23,583,111</w:t>
            </w:r>
          </w:p>
        </w:tc>
        <w:tc>
          <w:tcPr>
            <w:tcW w:type="dxa" w:w="222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0</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catalogue</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23,583,111</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23,583,111</w:t>
            </w:r>
          </w:p>
        </w:tc>
        <w:tc>
          <w:tcPr>
            <w:tcW w:type="dxa" w:w="222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1,923,776</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pseudonymise</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23,583,111</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23,583,111</w:t>
            </w:r>
          </w:p>
        </w:tc>
        <w:tc>
          <w:tcPr>
            <w:tcW w:type="dxa" w:w="222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23,583,111</w:t>
            </w:r>
          </w:p>
        </w:tc>
      </w:tr>
      <w:tr>
        <w:trPr>
          <w:cantSplit/>
          <w:tblHeader w:val="off"/>
        </w:trPr>
        <w:tc>
          <w:tcPr>
            <w:tcW w:type="dxa" w:w="296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domain_flags</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23,583,111</w:t>
            </w:r>
          </w:p>
        </w:tc>
        <w:tc>
          <w:tcPr>
            <w:tcW w:type="dxa" w:w="222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23,583,111</w:t>
            </w:r>
          </w:p>
        </w:tc>
        <w:tc>
          <w:tcPr>
            <w:tcW w:type="dxa" w:w="222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10,332,508</w:t>
            </w:r>
          </w:p>
        </w:tc>
      </w:tr>
    </w:tbl>
    <w:p>
      <w:pPr>
        <w:widowControl/>
        <w:spacing w:after="100" w:line="253"/>
      </w:pPr>
      <w:r>
        <w:t xml:space="preserve">Rows flagged is a stage-specific affected-row count, not a count of established errors. A successful schema stage records zero; a failed chunk is counted in the failure log, with field-level violation counts in the exception. Decode and normalise count changed rows; missing counts the union of short text and missing title. Duplicates counts removed copies plus retained rows carrying repetition flags. Outliers counts the union of its four flags; language counts likely non-English or unknown. UTC dates flags out-of-window instants. Catalogue counts absent context, pseudonymisation counts all transformed identifiers, and domain flags counts the union of its contextual cues. Summing this column would double-count rows.</w:t>
      </w:r>
    </w:p>
    <w:p>
      <w:pPr>
        <w:widowControl/>
        <w:spacing w:after="100" w:line="253"/>
      </w:pPr>
      <w:r>
        <w:t xml:space="preserve">cleaning_metrics.json records the full input and retained counts, threshold values, key investigation, catalogue population, detector method, per-flag totals, package versions and input fingerprints. cleaning_flag_by_rating.csv records both the pre-deduplication removal denominator and each retained flag denominator. These files explain why every headline number can be traced to an executed operation. Working memory includes the current chunk, catalogue and flagged-group lookup sets; chunking does not guarantee constant memory for arbitrarily larger releases. The source-order first-copy decision is deterministic. There is no stochastic sampling or model fit in cleaning, so a random seed does not influence flags. The existing Week 2 notebook retains its own fixed sampling seeds.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1285"/>
        <w:gridCol w:w="5141"/>
      </w:tblGrid>
      <w:tr>
        <w:trPr>
          <w:cantSplit/>
          <w:tblHeader/>
        </w:trPr>
        <w:tc>
          <w:tcPr>
            <w:tcW w:type="dxa" w:w="3212"/>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Read-only input</w:t>
            </w:r>
          </w:p>
        </w:tc>
        <w:tc>
          <w:tcPr>
            <w:tcW w:type="dxa" w:w="1285"/>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Bytes</w:t>
            </w:r>
          </w:p>
        </w:tc>
        <w:tc>
          <w:tcPr>
            <w:tcW w:type="dxa" w:w="5141"/>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SHA256</w:t>
            </w:r>
          </w:p>
        </w:tc>
      </w:tr>
      <w:tr>
        <w:trPr>
          <w:cantSplit/>
          <w:tblHeader w:val="off"/>
        </w:trPr>
        <w:tc>
          <w:tcPr>
            <w:tcW w:type="dxa" w:w="3212"/>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Beauty_and_Personal_Care.jsonl.gz</w:t>
            </w:r>
          </w:p>
        </w:tc>
        <w:tc>
          <w:tcPr>
            <w:tcW w:type="dxa" w:w="128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2,960,355,713</w:t>
            </w:r>
          </w:p>
        </w:tc>
        <w:tc>
          <w:tcPr>
            <w:tcW w:type="dxa" w:w="5141"/>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137f8d472285fbe03f7de1ee147c06f48095607f29557361f55850844262f151</w:t>
            </w:r>
          </w:p>
        </w:tc>
      </w:tr>
      <w:tr>
        <w:trPr>
          <w:cantSplit/>
          <w:tblHeader w:val="off"/>
        </w:trPr>
        <w:tc>
          <w:tcPr>
            <w:tcW w:type="dxa" w:w="3212"/>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meta_Beauty_and_Personal_Care.jsonl.gz</w:t>
            </w:r>
          </w:p>
        </w:tc>
        <w:tc>
          <w:tcPr>
            <w:tcW w:type="dxa" w:w="1285"/>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711,243,207</w:t>
            </w:r>
          </w:p>
        </w:tc>
        <w:tc>
          <w:tcPr>
            <w:tcW w:type="dxa" w:w="5141"/>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9b5ff26c24368f8844637e01f6c3190e00933a776d36afb4ae00b5074b1375c0</w:t>
            </w:r>
          </w:p>
        </w:tc>
      </w:tr>
    </w:tbl>
    <w:p>
      <w:pPr>
        <w:widowControl/>
        <w:spacing w:after="100" w:line="253"/>
      </w:pPr>
      <w:r>
        <w:t xml:space="preserve">These fingerprints identify the exact compressed files, not just filenames or release labels. A different compressed representation can have a different fingerprint even if its logical records match; use the saved snapshot for a byte-identical rerun. Compare the new fingerprint before reusing old aggregate evidence. The salt is deliberately absent from this table. Repeating with a different salt preserves the cleaning decisions and aggregate metrics while changing the pseudonyms. Timing and output file metadata can also vary across machines.</w:t>
      </w:r>
    </w:p>
    <w:p>
      <w:pPr>
        <w:pStyle w:val="Heading2"/>
        <w:keepNext/>
        <w:widowControl/>
        <w:spacing w:after="100" w:before="220"/>
      </w:pPr>
      <w:r>
        <w:t xml:space="preserve">Tests and commands</w:t>
      </w:r>
    </w:p>
    <w:p>
      <w:pPr>
        <w:widowControl/>
        <w:spacing w:after="100" w:line="253"/>
      </w:pPr>
      <w:r>
        <w:t xml:space="preserve">Run the commands below from the repository root with the specified Anaconda interpreter. Set CLEANING_SALT in the process environment from a private credential source before running the module. It must be at least 32 private characters. Do not place it in notebook cells, command transcripts, source control or .env.example. The command fails before processing if the secret is absent. A fresh output directory is needed for another full run.</w:t>
      </w:r>
    </w:p>
    <w:p>
      <w:pPr>
        <w:keepNext/>
        <w:widowControl/>
        <w:spacing w:after="0" w:line="215"/>
      </w:pPr>
      <w:r>
        <w:rPr>
          <w:rFonts w:ascii="Consolas" w:cs="Consolas" w:eastAsia="Consolas" w:hAnsi="Consolas"/>
          <w:sz w:val="17"/>
          <w:szCs w:val="17"/>
        </w:rPr>
        <w:t xml:space="preserve">/opt/anaconda3/bin/python -m pytest tests/</w:t>
      </w:r>
    </w:p>
    <w:p>
      <w:pPr>
        <w:keepNext/>
        <w:widowControl/>
        <w:spacing w:after="0" w:line="215"/>
      </w:pPr>
      <w:r>
        <w:rPr>
          <w:rFonts w:ascii="Consolas" w:cs="Consolas" w:eastAsia="Consolas" w:hAnsi="Consolas"/>
          <w:sz w:val="17"/>
          <w:szCs w:val="17"/>
        </w:rPr>
        <w:t xml:space="preserve">/opt/anaconda3/bin/ruff check src tests</w:t>
      </w:r>
    </w:p>
    <w:p>
      <w:pPr>
        <w:keepNext/>
        <w:widowControl/>
        <w:spacing w:after="0" w:line="215"/>
      </w:pPr>
      <w:r>
        <w:rPr>
          <w:rFonts w:ascii="Consolas" w:cs="Consolas" w:eastAsia="Consolas" w:hAnsi="Consolas"/>
          <w:sz w:val="17"/>
          <w:szCs w:val="17"/>
        </w:rPr>
        <w:t xml:space="preserve">/opt/anaconda3/bin/python -m src.cleaning \</w:t>
      </w:r>
    </w:p>
    <w:p>
      <w:pPr>
        <w:keepNext/>
        <w:widowControl/>
        <w:spacing w:after="0" w:line="215"/>
      </w:pPr>
      <w:r>
        <w:rPr>
          <w:rFonts w:ascii="Consolas" w:cs="Consolas" w:eastAsia="Consolas" w:hAnsi="Consolas"/>
          <w:sz w:val="17"/>
          <w:szCs w:val="17"/>
        </w:rPr>
        <w:t xml:space="preserve">  data/raw/amazon_reviews_2023/Beauty_and_Personal_Care.jsonl.gz \</w:t>
      </w:r>
    </w:p>
    <w:p>
      <w:pPr>
        <w:keepNext/>
        <w:widowControl/>
        <w:spacing w:after="0" w:line="215"/>
      </w:pPr>
      <w:r>
        <w:rPr>
          <w:rFonts w:ascii="Consolas" w:cs="Consolas" w:eastAsia="Consolas" w:hAnsi="Consolas"/>
          <w:sz w:val="17"/>
          <w:szCs w:val="17"/>
        </w:rPr>
        <w:t xml:space="preserve">  data/processed --chunksize 100000</w:t>
      </w:r>
    </w:p>
    <w:p>
      <w:pPr>
        <w:keepNext/>
        <w:widowControl/>
        <w:spacing w:after="0" w:line="215"/>
      </w:pPr>
      <w:r>
        <w:rPr>
          <w:rFonts w:ascii="Consolas" w:cs="Consolas" w:eastAsia="Consolas" w:hAnsi="Consolas"/>
          <w:sz w:val="17"/>
          <w:szCs w:val="17"/>
        </w:rPr>
        <w:t xml:space="preserve">jupyter nbconvert --to notebook --execute --inplace complaint_detection.ipynb</w:t>
      </w:r>
    </w:p>
    <w:p>
      <w:pPr>
        <w:widowControl/>
        <w:spacing w:after="100" w:line="253"/>
      </w:pPr>
      <w:r>
        <w:t xml:space="preserve">The synthetic suite covers schema rejection with field counts; entity decoding and the quoted no-irritation example; Unicode, whitespace, case and punctuation; missing flags; product duplicates and conflicting keys; outlier retention; language classes; UTC dates; catalogue join validation, units and shade; required secret handling; changing pseudonyms when the secret changes; contextual false friends; histogram quantile equivalence; and integrated runs with small and large chunks. Both Parquet and forced CSV fallback paths are exercised without credentials, downloads or the real review release.</w:t>
      </w:r>
    </w:p>
    <w:p>
      <w:pPr>
        <w:widowControl/>
        <w:spacing w:after="100" w:line="253"/>
      </w:pPr>
      <w:r>
        <w:t xml:space="preserve">The notebook reads the saved full-run log and metrics and is ready for execution with the plain command above. It displays the step log and the same per-step share chart as Figure 2. Its conditional module call supports a first run when no evidence exists and the person running the pipeline has supplied the environment secret. Tests verify that temporary work folders are removed and raw user_id never appears in final partitions. The Week 3 cells have been updated without executing the notebook again.</w:t>
      </w:r>
    </w:p>
    <w:p>
      <w:pPr>
        <w:jc w:val="center"/>
      </w:pPr>
      <w:r>
        <w:drawing>
          <wp:inline distT="0" distB="0" distL="0" distR="0">
            <wp:extent cx="6115050" cy="4467225"/>
            <wp:effectExtent t="0" r="0" b="0" l="0"/>
            <wp:docPr id="2" name="before_after.png" descr="Aggregate pipeline diagram or chart" title="before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4467225"/>
                    </a:xfrm>
                    <a:prstGeom prst="rect">
                      <a:avLst/>
                    </a:prstGeom>
                  </pic:spPr>
                </pic:pic>
              </a:graphicData>
            </a:graphic>
          </wp:inline>
        </w:drawing>
      </w:r>
    </w:p>
    <w:p>
      <w:pPr>
        <w:widowControl/>
        <w:spacing w:after="100" w:line="253"/>
      </w:pPr>
      <w:r>
        <w:t xml:space="preserve">Figure 2. Rows flagged or changed at each step, divided by that step's rows in. Labels show the percentage and count. The orange part of step 5 is the 328,279 exact copies removed; the blue part is retained rows with repetition flags. Other blue bars show changed or flagged rows that are kept. UTC dates records zero out-of-window flags, although every retained row receives date fields. A row may appear in several steps, so the bars must not be added.</w:t>
      </w:r>
    </w:p>
    <w:p>
      <w:pPr>
        <w:pStyle w:val="Heading1"/>
        <w:keepNext/>
        <w:widowControl/>
        <w:spacing w:after="100" w:before="220"/>
      </w:pPr>
      <w:r>
        <w:t xml:space="preserve">8. How cleaning enables EDA and modelling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4"/>
        <w:gridCol w:w="2834"/>
        <w:gridCol w:w="3970"/>
      </w:tblGrid>
      <w:tr>
        <w:trPr>
          <w:cantSplit/>
          <w:tblHeader/>
        </w:trPr>
        <w:tc>
          <w:tcPr>
            <w:tcW w:type="dxa" w:w="2834"/>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Hypothesis from Week 1</w:t>
            </w:r>
          </w:p>
        </w:tc>
        <w:tc>
          <w:tcPr>
            <w:tcW w:type="dxa" w:w="2834"/>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Cleaned fields needed</w:t>
            </w:r>
          </w:p>
        </w:tc>
        <w:tc>
          <w:tcPr>
            <w:tcW w:type="dxa" w:w="3970"/>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Failure without cleaning and planned check</w:t>
            </w:r>
          </w:p>
        </w:tc>
      </w:tr>
      <w:tr>
        <w:trPr>
          <w:cantSplit/>
          <w:tblHeader w:val="off"/>
        </w:trPr>
        <w:tc>
          <w:tcPr>
            <w:tcW w:type="dxa" w:w="283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H1: two annotators agree on a safety complaint</w:t>
            </w:r>
          </w:p>
        </w:tc>
        <w:tc>
          <w:tcPr>
            <w:tcW w:type="dxa" w:w="283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Readable title/text; missing and short flags; preserved negation.</w:t>
            </w:r>
          </w:p>
        </w:tc>
        <w:tc>
          <w:tcPr>
            <w:tcW w:type="dxa" w:w="397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Encoded context and absent text can create disagreement. Check confusion patterns and kappa on human labels; original target 0.70.</w:t>
            </w:r>
          </w:p>
        </w:tc>
      </w:tr>
      <w:tr>
        <w:trPr>
          <w:cantSplit/>
          <w:tblHeader w:val="off"/>
        </w:trPr>
        <w:tc>
          <w:tcPr>
            <w:tcW w:type="dxa" w:w="283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H2: a classifier beats tuned keyword search</w:t>
            </w:r>
          </w:p>
        </w:tc>
        <w:tc>
          <w:tcPr>
            <w:tcW w:type="dxa" w:w="283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Normalised text; domain flags; product groups; review keys.</w:t>
            </w:r>
          </w:p>
        </w:tc>
        <w:tc>
          <w:tcPr>
            <w:tcW w:type="dxa" w:w="397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Repeated text can leak into evaluation. Compare average precision against a tuned baseline on adjudicated pilot labels.</w:t>
            </w:r>
          </w:p>
        </w:tc>
      </w:tr>
      <w:tr>
        <w:trPr>
          <w:cantSplit/>
          <w:tblHeader w:val="off"/>
        </w:trPr>
        <w:tc>
          <w:tcPr>
            <w:tcW w:type="dxa" w:w="283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H3: rule labels replace most hand labels</w:t>
            </w:r>
          </w:p>
        </w:tc>
        <w:tc>
          <w:tcPr>
            <w:tcW w:type="dxa" w:w="283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Negation and false-friend flags; rating; safety vocabulary; product grouping.</w:t>
            </w:r>
          </w:p>
        </w:tc>
        <w:tc>
          <w:tcPr>
            <w:tcW w:type="dxa" w:w="397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Rules can label praise as harm and leak into testing. Use the revised Week 2 comparison against the tuned baseline, with indicative results only.</w:t>
            </w:r>
          </w:p>
        </w:tc>
      </w:tr>
      <w:tr>
        <w:trPr>
          <w:cantSplit/>
          <w:tblHeader w:val="off"/>
        </w:trPr>
        <w:tc>
          <w:tcPr>
            <w:tcW w:type="dxa" w:w="283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H4: complaint rates rise before recall</w:t>
            </w:r>
          </w:p>
        </w:tc>
        <w:tc>
          <w:tcPr>
            <w:tcW w:type="dxa" w:w="283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UTC date/year/quarter; parent_asin; verified product-to-recall mapping.</w:t>
            </w:r>
          </w:p>
        </w:tc>
        <w:tc>
          <w:tcPr>
            <w:tcW w:type="dxa" w:w="397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Timezone shifts and duplicate denominators distort trends. Plot rates and Wilson intervals; remain descriptive.</w:t>
            </w:r>
          </w:p>
        </w:tc>
      </w:tr>
      <w:tr>
        <w:trPr>
          <w:cantSplit/>
          <w:tblHeader w:val="off"/>
        </w:trPr>
        <w:tc>
          <w:tcPr>
            <w:tcW w:type="dxa" w:w="283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H5: brand and size matching traces products</w:t>
            </w:r>
          </w:p>
        </w:tc>
        <w:tc>
          <w:tcPr>
            <w:tcW w:type="dxa" w:w="2834"/>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Catalogue title/store; quantity_ml, quantity_g and explicit shade.</w:t>
            </w:r>
          </w:p>
        </w:tc>
        <w:tc>
          <w:tcPr>
            <w:tcW w:type="dxa" w:w="3970"/>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Unit mismatch and guessed missing fields can link the wrong product. Inspect ranked matches and missing-metadata failures.</w:t>
            </w:r>
          </w:p>
        </w:tc>
      </w:tr>
    </w:tbl>
    <w:p>
      <w:pPr>
        <w:widowControl/>
        <w:spacing w:after="100" w:line="253"/>
      </w:pPr>
      <w:r>
        <w:t xml:space="preserve">This is a preparation-to-hypothesis map, not a claim that cleaning tests the hypotheses by itself. H1 still depends on people interpreting the same sentence under the annotation guideline. Week 2 measured a pilot kappa of 0.46, below the original 0.70 target, and no new annotation agreement is fabricated here. The preserved wording and uncertainty flags make the later disagreement review easier to audit. A short or empty review should receive an explicit annotation decision, not an automatically assigned negative label.</w:t>
      </w:r>
    </w:p>
    <w:p>
      <w:pPr>
        <w:widowControl/>
        <w:spacing w:after="100" w:line="253"/>
      </w:pPr>
      <w:r>
        <w:t xml:space="preserve">H2 and H3 need an independent evaluation route. Product groups must be held apart before training, and duplicated bodies crossing product boundaries must be checked across the proposed split. Weak-label cues should be disclosed, and any training-derived thresholds fitted without using held-out outcomes. The current global quality thresholds are descriptive full-release diagnostics; they are not fitted predictive features that can silently be carried into a prospective evaluation. The limited adjudicated pilot means a gain or loss can be unstable, so any model result must retain the indicative qualification from Week 2.</w:t>
      </w:r>
    </w:p>
    <w:p>
      <w:pPr>
        <w:widowControl/>
        <w:spacing w:after="100" w:line="253"/>
      </w:pPr>
      <w:r>
        <w:t xml:space="preserve">H4 needs denominators as carefully as numerators. The pipeline supplies dated review populations and an explicit removal audit, but a complaint rate requires complaint labels and a reviewed recall linkage. Week 2 found only eight qualifying recalled lines and one microbial line with useful volume; cleaning does not improve that coverage. H5 is also exploratory and concerns earlier French notice and Open Beauty Facts matching. The Amazon size fields demonstrate a reusable representation, but they do not add French brand overlap or establish a cross-market lot match. These boundaries keep improved data handling separate from stronger causal or predictive claims.</w:t>
      </w:r>
    </w:p>
    <w:p>
      <w:pPr>
        <w:pStyle w:val="Heading1"/>
        <w:keepNext/>
        <w:widowControl/>
        <w:spacing w:after="100" w:before="220"/>
      </w:pPr>
      <w:r>
        <w:t xml:space="preserve">9. Preview of the Week 4 EDA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3011"/>
        <w:gridCol w:w="4218"/>
      </w:tblGrid>
      <w:tr>
        <w:trPr>
          <w:cantSplit/>
          <w:tblHeader/>
        </w:trPr>
        <w:tc>
          <w:tcPr>
            <w:tcW w:type="dxa" w:w="2409"/>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Planned analysis</w:t>
            </w:r>
          </w:p>
        </w:tc>
        <w:tc>
          <w:tcPr>
            <w:tcW w:type="dxa" w:w="3011"/>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Fields and denominator</w:t>
            </w:r>
          </w:p>
        </w:tc>
        <w:tc>
          <w:tcPr>
            <w:tcW w:type="dxa" w:w="4218"/>
            <w:tcBorders>
              <w:top w:val="single" w:color="D9D9D9" w:sz="4"/>
              <w:left w:val="single" w:color="D9D9D9" w:sz="4"/>
              <w:bottom w:val="single" w:color="D9D9D9" w:sz="4"/>
              <w:right w:val="single" w:color="D9D9D9" w:sz="4"/>
            </w:tcBorders>
            <w:shd w:fill="E8EFF3" w:val="clear"/>
            <w:tcMar>
              <w:top w:type="dxa" w:w="65"/>
              <w:left w:type="dxa" w:w="85"/>
              <w:bottom w:type="dxa" w:w="65"/>
              <w:right w:type="dxa" w:w="85"/>
            </w:tcMar>
            <w:vAlign w:val="center"/>
          </w:tcPr>
          <w:p>
            <w:pPr>
              <w:spacing w:after="0" w:line="222"/>
            </w:pPr>
            <w:r>
              <w:rPr>
                <w:b/>
                <w:bCs/>
                <w:color w:val="1F3A4D"/>
                <w:sz w:val="18"/>
                <w:szCs w:val="18"/>
              </w:rPr>
              <w:t xml:space="preserve">Diagnostic and output</w:t>
            </w:r>
          </w:p>
        </w:tc>
      </w:tr>
      <w:tr>
        <w:trPr>
          <w:cantSplit/>
          <w:tblHeader w:val="off"/>
        </w:trPr>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Quality and retention by rating</w:t>
            </w:r>
          </w:p>
        </w:tc>
        <w:tc>
          <w:tcPr>
            <w:tcW w:type="dxa" w:w="3011"/>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All input for removals; retained rows for flags.</w:t>
            </w:r>
          </w:p>
        </w:tc>
        <w:tc>
          <w:tcPr>
            <w:tcW w:type="dxa" w:w="421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Reuse Section 2 shares, plot differences and compare conclusions with raw counts.</w:t>
            </w:r>
          </w:p>
        </w:tc>
      </w:tr>
      <w:tr>
        <w:trPr>
          <w:cantSplit/>
          <w:tblHeader w:val="off"/>
        </w:trPr>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Language sensitivity</w:t>
            </w:r>
          </w:p>
        </w:tc>
        <w:tc>
          <w:tcPr>
            <w:tcW w:type="dxa" w:w="3011"/>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likely_en, likely_non_en, unknown; all retained rows.</w:t>
            </w:r>
          </w:p>
        </w:tc>
        <w:tc>
          <w:tcPr>
            <w:tcW w:type="dxa" w:w="421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Manually check a multilingual sample before exclusions; show all three groups separately.</w:t>
            </w:r>
          </w:p>
        </w:tc>
      </w:tr>
      <w:tr>
        <w:trPr>
          <w:cantSplit/>
          <w:tblHeader w:val="off"/>
        </w:trPr>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Complaint wording and negation</w:t>
            </w:r>
          </w:p>
        </w:tc>
        <w:tc>
          <w:tcPr>
            <w:tcW w:type="dxa" w:w="3011"/>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Human labels with text and domain flags.</w:t>
            </w:r>
          </w:p>
        </w:tc>
        <w:tc>
          <w:tcPr>
            <w:tcW w:type="dxa" w:w="421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Cross-tab false positives and unclear labels; report sample denominators without public quotations.</w:t>
            </w:r>
          </w:p>
        </w:tc>
      </w:tr>
      <w:tr>
        <w:trPr>
          <w:cantSplit/>
          <w:tblHeader w:val="off"/>
        </w:trPr>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Lengths and helpful votes</w:t>
            </w:r>
          </w:p>
        </w:tc>
        <w:tc>
          <w:tcPr>
            <w:tcW w:type="dxa" w:w="3011"/>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word_count and helpful_log1p; retained rows.</w:t>
            </w:r>
          </w:p>
        </w:tc>
        <w:tc>
          <w:tcPr>
            <w:tcW w:type="dxa" w:w="421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Histograms or ECDFs by rating and later label; compare flagged tails without deleting them.</w:t>
            </w:r>
          </w:p>
        </w:tc>
      </w:tr>
      <w:tr>
        <w:trPr>
          <w:cantSplit/>
          <w:tblHeader w:val="off"/>
        </w:trPr>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Temporal review volume and recall lines</w:t>
            </w:r>
          </w:p>
        </w:tc>
        <w:tc>
          <w:tcPr>
            <w:tcW w:type="dxa" w:w="3011"/>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UTC periods and verified parent-product recall links.</w:t>
            </w:r>
          </w:p>
        </w:tc>
        <w:tc>
          <w:tcPr>
            <w:tcW w:type="dxa" w:w="421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Plot numerator and denominator separately, then labelled shares with Wilson intervals.</w:t>
            </w:r>
          </w:p>
        </w:tc>
      </w:tr>
      <w:tr>
        <w:trPr>
          <w:cantSplit/>
          <w:tblHeader w:val="off"/>
        </w:trPr>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Catalogue coverage and matching</w:t>
            </w:r>
          </w:p>
        </w:tc>
        <w:tc>
          <w:tcPr>
            <w:tcW w:type="dxa" w:w="3011"/>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Unmatched and missing fields; size/shade candidates.</w:t>
            </w:r>
          </w:p>
        </w:tc>
        <w:tc>
          <w:tcPr>
            <w:tcW w:type="dxa" w:w="421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Inspect failure strata and confirmed match precision; do not infer missing brand identity.</w:t>
            </w:r>
          </w:p>
        </w:tc>
      </w:tr>
      <w:tr>
        <w:trPr>
          <w:cantSplit/>
          <w:tblHeader w:val="off"/>
        </w:trPr>
        <w:tc>
          <w:tcPr>
            <w:tcW w:type="dxa" w:w="2409"/>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Evaluation independence</w:t>
            </w:r>
          </w:p>
        </w:tc>
        <w:tc>
          <w:tcPr>
            <w:tcW w:type="dxa" w:w="3011"/>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Product groups and cross-product repeated bodies.</w:t>
            </w:r>
          </w:p>
        </w:tc>
        <w:tc>
          <w:tcPr>
            <w:tcW w:type="dxa" w:w="4218"/>
            <w:tcBorders>
              <w:top w:val="single" w:color="D9D9D9" w:sz="4"/>
              <w:left w:val="single" w:color="D9D9D9" w:sz="4"/>
              <w:bottom w:val="single" w:color="D9D9D9" w:sz="4"/>
              <w:right w:val="single" w:color="D9D9D9" w:sz="4"/>
            </w:tcBorders>
            <w:tcMar>
              <w:top w:type="dxa" w:w="65"/>
              <w:left w:type="dxa" w:w="85"/>
              <w:bottom w:type="dxa" w:w="65"/>
              <w:right w:type="dxa" w:w="85"/>
            </w:tcMar>
            <w:vAlign w:val="center"/>
          </w:tcPr>
          <w:p>
            <w:pPr>
              <w:spacing w:after="0" w:line="222"/>
            </w:pPr>
            <w:r>
              <w:rPr>
                <w:b w:val="false"/>
                <w:bCs w:val="false"/>
                <w:color w:val="1F3A4D"/>
                <w:sz w:val="18"/>
                <w:szCs w:val="18"/>
              </w:rPr>
              <w:t xml:space="preserve">Audit proposed splits for shared wording before classifier evaluation.</w:t>
            </w:r>
          </w:p>
        </w:tc>
      </w:tr>
    </w:tbl>
    <w:p>
      <w:pPr>
        <w:widowControl/>
        <w:spacing w:after="100" w:line="253"/>
      </w:pPr>
      <w:r>
        <w:t xml:space="preserve">Start with the full retained population, then show sensitivity slices rather than replacing the study population without explanation. Every chart should identify its denominator, time window, aggregation unit and whether labels are human or rule-derived. A share among keyword candidates is different from a share among all reviews. The raw Week 2 safety-word count is a retrieval count, not the number of complaints; the new contextual flags do not change that distinction.</w:t>
      </w:r>
    </w:p>
    <w:p>
      <w:pPr>
        <w:widowControl/>
        <w:spacing w:after="100" w:line="253"/>
      </w:pPr>
      <w:r>
        <w:t xml:space="preserve">Choose the first manual checks using the recorded uncertainty: short text, likely non-English and unknown groups, conflicting review keys, ambiguous expiry context and absent catalogue data. These checks establish whether the flags identify relevant failure modes before they become modelling exclusions. Keep rating hidden during human complaint annotation as the guideline requires. Any later comparison that uses rating to create weak labels should explain that dependency. This planned EDA deepens the link between cleaning and the original hypotheses without inventing a new labelled dataset or reporting an unperformed statistical test.</w:t>
      </w:r>
    </w:p>
    <w:p>
      <w:pPr>
        <w:pStyle w:val="Heading1"/>
        <w:keepNext/>
        <w:widowControl/>
        <w:spacing w:after="100" w:before="220"/>
      </w:pPr>
      <w:r>
        <w:t xml:space="preserve">10. Conclusion</w:t>
      </w:r>
    </w:p>
    <w:p>
      <w:pPr>
        <w:widowControl/>
        <w:spacing w:after="100" w:line="253"/>
      </w:pPr>
      <w:r>
        <w:t xml:space="preserve">The Week 3 pipeline turns 23,911,390 raw reviews into 23,583,111 locally retained records with a documented representation, quality flags, UTC dates, catalogue context and protected reviewer linkage. Its 328,279 removals follow one explicit exact-copy rule. Every other quality decision stays visible as a flag. The tests, step log, rating audit and fingerprints make the work inspectable, while the notebook demonstrates the full-run outcome without publishing review text.</w:t>
      </w:r>
    </w:p>
    <w:p>
      <w:pPr>
        <w:widowControl/>
        <w:spacing w:after="100" w:line="253"/>
      </w:pPr>
      <w:r>
        <w:t xml:space="preserve">The strongest domain decisions preserve negation and distinguish safety words from memory or return-policy language. The main unresolved questions are linguistic accuracy, the representativeness of retained versus removed opinions, limited human annotation and uncertain product-to-recall links. Section 9 makes those the first Week 4 investigations. The delivered files support that next stage; they do not claim a trained model, an established unsafe brand, a validated non-English estimate or clinical causation.</w:t>
      </w:r>
    </w:p>
    <w:p>
      <w:pPr>
        <w:pStyle w:val="Heading1"/>
        <w:keepNext/>
        <w:widowControl/>
        <w:spacing w:after="100" w:before="220"/>
      </w:pPr>
      <w:r>
        <w:t xml:space="preserve">References</w:t>
      </w:r>
    </w:p>
    <w:p>
      <w:pPr>
        <w:spacing w:after="90"/>
      </w:pPr>
      <w:r>
        <w:rPr>
          <w:sz w:val="18"/>
          <w:szCs w:val="18"/>
        </w:rPr>
        <w:t xml:space="preserve">McAuley Lab. Amazon Reviews 2023. Release documentation and category downloads. Accessed 22 October 2026. </w:t>
      </w:r>
      <w:hyperlink w:history="1" r:id="rIdmburnpxzhv-1snqijz6dv">
        <w:r>
          <w:rPr>
            <w:color w:val="1155CC"/>
            <w:sz w:val="18"/>
            <w:szCs w:val="18"/>
            <w:u w:val="single"/>
          </w:rPr>
          <w:t xml:space="preserve">https://amazon-reviews-2023.github.io/</w:t>
        </w:r>
      </w:hyperlink>
    </w:p>
    <w:p>
      <w:pPr>
        <w:spacing w:after="90"/>
      </w:pPr>
      <w:r>
        <w:rPr>
          <w:sz w:val="18"/>
          <w:szCs w:val="18"/>
        </w:rPr>
        <w:t xml:space="preserve">Hou, Y., Li, J., Fu, X., He, Z., Yan, A., Chen, X., and McAuley, J. (2024). Bridging Language and Items for Retrieval and Recommendation. arXiv:2403.03952. </w:t>
      </w:r>
      <w:hyperlink w:history="1" r:id="rId5wjjrewz9uykxp13hrrd2">
        <w:r>
          <w:rPr>
            <w:color w:val="1155CC"/>
            <w:sz w:val="18"/>
            <w:szCs w:val="18"/>
            <w:u w:val="single"/>
          </w:rPr>
          <w:t xml:space="preserve">https://arxiv.org/abs/2403.03952</w:t>
        </w:r>
      </w:hyperlink>
    </w:p>
    <w:p>
      <w:pPr>
        <w:spacing w:after="90"/>
      </w:pPr>
      <w:r>
        <w:rPr>
          <w:sz w:val="18"/>
          <w:szCs w:val="18"/>
        </w:rPr>
        <w:t xml:space="preserve">Chapman, W. W., Bridewell, W., Hanbury, P., Cooper, G. F., and Buchanan, B. G. (2001). A simple algorithm for identifying negated findings and diseases in discharge summaries. Journal of Biomedical Informatics, 34(5), 301-310. Context for preserving negation, not a claim this pipeline implements NegEx. </w:t>
      </w:r>
      <w:hyperlink w:history="1" r:id="rIddi1ipgn-p8ildu4uvqszf">
        <w:r>
          <w:rPr>
            <w:color w:val="1155CC"/>
            <w:sz w:val="18"/>
            <w:szCs w:val="18"/>
            <w:u w:val="single"/>
          </w:rPr>
          <w:t xml:space="preserve">https://doi.org/10.1006/jbin.2001.1029</w:t>
        </w:r>
      </w:hyperlink>
    </w:p>
    <w:p>
      <w:pPr>
        <w:spacing w:after="90"/>
      </w:pPr>
      <w:r>
        <w:rPr>
          <w:sz w:val="18"/>
          <w:szCs w:val="18"/>
        </w:rPr>
        <w:t xml:space="preserve">pandas documentation. read_json API, including line-delimited chunk iteration. Runtime pinned to the recorded version. </w:t>
      </w:r>
      <w:hyperlink w:history="1" r:id="rIdyy-ty3zfmi2cz9onkt8dp">
        <w:r>
          <w:rPr>
            <w:color w:val="1155CC"/>
            <w:sz w:val="18"/>
            <w:szCs w:val="18"/>
            <w:u w:val="single"/>
          </w:rPr>
          <w:t xml:space="preserve">https://pandas.pydata.org/docs/reference/api/pandas.read_json.html</w:t>
        </w:r>
      </w:hyperlink>
    </w:p>
    <w:p>
      <w:pPr>
        <w:spacing w:after="90"/>
      </w:pPr>
      <w:r>
        <w:rPr>
          <w:sz w:val="18"/>
          <w:szCs w:val="18"/>
        </w:rPr>
        <w:t xml:space="preserve">NumPy documentation. log1p, the elementwise natural logarithm of one plus the input. </w:t>
      </w:r>
      <w:hyperlink w:history="1" r:id="rIdsqvqhntepbyqntviv3zr-">
        <w:r>
          <w:rPr>
            <w:color w:val="1155CC"/>
            <w:sz w:val="18"/>
            <w:szCs w:val="18"/>
            <w:u w:val="single"/>
          </w:rPr>
          <w:t xml:space="preserve">https://numpy.org/doc/stable/reference/generated/numpy.log1p.html</w:t>
        </w:r>
      </w:hyperlink>
    </w:p>
    <w:p>
      <w:pPr>
        <w:spacing w:after="90"/>
      </w:pPr>
      <w:r>
        <w:rPr>
          <w:sz w:val="18"/>
          <w:szCs w:val="18"/>
        </w:rPr>
        <w:t xml:space="preserve">Python documentation. hmac, keyed hashing for message authentication. </w:t>
      </w:r>
      <w:hyperlink w:history="1" r:id="rId6borkhhlth7ah8rmgdhz9">
        <w:r>
          <w:rPr>
            <w:color w:val="1155CC"/>
            <w:sz w:val="18"/>
            <w:szCs w:val="18"/>
            <w:u w:val="single"/>
          </w:rPr>
          <w:t xml:space="preserve">https://docs.python.org/3/library/hmac.html</w:t>
        </w:r>
      </w:hyperlink>
    </w:p>
    <w:p>
      <w:pPr>
        <w:widowControl/>
        <w:spacing w:after="100" w:line="253"/>
      </w:pPr>
      <w:r>
        <w:t xml:space="preserve">Local evidence: complaint_detection.ipynb Sections 10, 16 and Week 3; data/labels/annotation_guideline.md; Week_02_Data_Sourcing_Strategy.docx Sections 9 to 12; data/processed/cleaning_log.csv, cleaning_metrics.json and cleaning_flag_by_rating.csv. Earlier Word reports were read for context and not modified.</w:t>
      </w:r>
    </w:p>
    <w:sectPr>
      <w:headerReference w:type="default" r:id="rId6"/>
      <w:footerReference w:type="default" r:id="rId7"/>
      <w:pgSz w:w="11906" w:h="16838" w:orient="portrait"/>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widowControl/>
      <w:spacing w:after="100" w:line="253"/>
      <w:jc w:val="center"/>
    </w:pPr>
    <w:r>
      <w:rPr>
        <w:color w:val="657782"/>
        <w:sz w:val="16"/>
        <w:szCs w:val="16"/>
      </w:rPr>
      <w:t xml:space="preserve">Pawan Singh Kapkoti  |  Page </w:t>
    </w:r>
    <w:r>
      <w:rPr>
        <w:color w:val="657782"/>
        <w:sz w:val="16"/>
        <w:szCs w:val="16"/>
      </w:rPr>
      <w:fldChar w:fldCharType="begin"/>
    </w:r>
    <w:r>
      <w:rPr>
        <w:color w:val="657782"/>
        <w:sz w:val="16"/>
        <w:szCs w:val="16"/>
      </w:rPr>
      <w:instrText xml:space="preserve">PAGE</w:instrText>
    </w:r>
    <w:r>
      <w:rPr>
        <w:color w:val="657782"/>
        <w:sz w:val="16"/>
        <w:szCs w:val="16"/>
      </w:rPr>
      <w:fldChar w:fldCharType="separate"/>
    </w:r>
    <w:r>
      <w:rPr>
        <w:color w:val="657782"/>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widowControl/>
      <w:spacing w:after="100" w:line="253"/>
      <w:jc w:val="right"/>
    </w:pPr>
    <w:r>
      <w:rPr>
        <w:color w:val="657782"/>
        <w:sz w:val="15"/>
        <w:szCs w:val="15"/>
      </w:rPr>
      <w:t xml:space="preserve">YUVAINTERN  |  WEEK 3  |  BEAUTY AND WELLNESS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3A4D"/>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F3A4D"/>
      <w:sz w:val="32"/>
      <w:szCs w:val="32"/>
    </w:rPr>
  </w:style>
  <w:style w:type="paragraph" w:styleId="Heading1">
    <w:name w:val="Heading 1"/>
    <w:basedOn w:val="Normal"/>
    <w:next w:val="Normal"/>
    <w:qFormat/>
    <w:pPr>
      <w:outlineLvl w:val="0"/>
    </w:pPr>
    <w:rPr>
      <w:rFonts w:ascii="Calibri" w:cs="Calibri" w:eastAsia="Calibri" w:hAnsi="Calibri"/>
      <w:b/>
      <w:bCs/>
      <w:color w:val="1F3A4D"/>
      <w:sz w:val="27"/>
      <w:szCs w:val="27"/>
    </w:rPr>
  </w:style>
  <w:style w:type="paragraph" w:styleId="Heading2">
    <w:name w:val="Heading 2"/>
    <w:basedOn w:val="Normal"/>
    <w:next w:val="Normal"/>
    <w:qFormat/>
    <w:pPr>
      <w:outlineLvl w:val="1"/>
    </w:pPr>
    <w:rPr>
      <w:rFonts w:ascii="Calibri" w:cs="Calibri" w:eastAsia="Calibri" w:hAnsi="Calibri"/>
      <w:b/>
      <w:bCs/>
      <w:color w:val="1F3A4D"/>
      <w:sz w:val="23"/>
      <w:szCs w:val="23"/>
    </w:rPr>
  </w:style>
  <w:style w:type="paragraph" w:styleId="PlainTerms">
    <w:name w:val="Plain terms"/>
    <w:basedOn w:val="Normal"/>
    <w:rPr>
      <w:b/>
      <w:bCs/>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mburnpxzhv-1snqijz6dv" Type="http://schemas.openxmlformats.org/officeDocument/2006/relationships/hyperlink" Target="https://amazon-reviews-2023.github.io/" TargetMode="External"/><Relationship Id="rId5wjjrewz9uykxp13hrrd2" Type="http://schemas.openxmlformats.org/officeDocument/2006/relationships/hyperlink" Target="https://arxiv.org/abs/2403.03952" TargetMode="External"/><Relationship Id="rIddi1ipgn-p8ildu4uvqszf" Type="http://schemas.openxmlformats.org/officeDocument/2006/relationships/hyperlink" Target="https://doi.org/10.1006/jbin.2001.1029" TargetMode="External"/><Relationship Id="rIdyy-ty3zfmi2cz9onkt8dp" Type="http://schemas.openxmlformats.org/officeDocument/2006/relationships/hyperlink" Target="https://pandas.pydata.org/docs/reference/api/pandas.read_json.html" TargetMode="External"/><Relationship Id="rIdsqvqhntepbyqntviv3zr-" Type="http://schemas.openxmlformats.org/officeDocument/2006/relationships/hyperlink" Target="https://numpy.org/doc/stable/reference/generated/numpy.log1p.html" TargetMode="External"/><Relationship Id="rId6borkhhlth7ah8rmgdhz9" Type="http://schemas.openxmlformats.org/officeDocument/2006/relationships/hyperlink" Target="https://docs.python.org/3/library/hmac.html" TargetMode="External"/><Relationship Id="rId15" Type="http://schemas.openxmlformats.org/officeDocument/2006/relationships/image" Target="media/c002956704540aca36111d722a26a56263282544.png"/><Relationship Id="rId16" Type="http://schemas.openxmlformats.org/officeDocument/2006/relationships/image" Target="media/5215ae9a083a36b0b0eac5eec6b0404af1ab6a8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Cleaning and Preprocessing Pipeline for Cosmetic Safety Complaints</dc:title>
  <dc:subject>YuvaIntern Week 3 Beauty and Wellness</dc:subject>
  <dc:creator>Pawan Singh Kapkoti</dc:creator>
  <cp:lastModifiedBy>Pawan Singh Kapkoti</cp:lastModifiedBy>
  <cp:revision>1</cp:revision>
  <dcterms:created xsi:type="dcterms:W3CDTF">2026-10-22T11:48:12.142Z</dcterms:created>
  <dcterms:modified xsi:type="dcterms:W3CDTF">2026-10-22T11:48:12.145Z</dcterms:modified>
</cp:coreProperties>
</file>

<file path=docProps/custom.xml><?xml version="1.0" encoding="utf-8"?>
<Properties xmlns="http://schemas.openxmlformats.org/officeDocument/2006/custom-properties" xmlns:vt="http://schemas.openxmlformats.org/officeDocument/2006/docPropsVTypes"/>
</file>