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Cosmetic Recall Matching and Batch Verification</w:t>
      </w:r>
    </w:p>
    <w:p>
      <w:r>
        <w:rPr>
          <w:b/>
        </w:rPr>
        <w:t xml:space="preserve">YuvaIntern </w:t>
      </w:r>
      <w:r>
        <w:t>Week 1 Data Science Orientation and Problem Definition in Beauty and Wellness</w:t>
      </w:r>
    </w:p>
    <w:p>
      <w:r>
        <w:t>Pawan Singh Kapkoti | Data Science with Python Analyst Internship | 2 October 2026</w:t>
      </w:r>
    </w:p>
    <w:p>
      <w:pPr>
        <w:pStyle w:val="Heading2"/>
      </w:pPr>
      <w:r>
        <w:t>Executive summary</w:t>
      </w:r>
    </w:p>
    <w:p>
      <w:r>
        <w:t>I propose a study of how accurately public cosmetic recall records can be connected to a specific product variant and manufacturing batch. The immediate goal is an auditable decision aid for consumers and retailers: retrieve a relevant notice, show the product and batch evidence, and preserve the official instructions and market. AI retrieval will be investigated only where reviewed examples show that it improves a simple baseline.</w:t>
      </w:r>
    </w:p>
    <w:p>
      <w:r>
        <w:t>The feasibility work supports a limited study, with important data constraints. The French snapshot contains 296 cosmetic notices. An independent catalogue overlaps 30 product identities, but only 17 have usable names. A small comparison exposed a concrete error: both text methods ranked a 300 ml shampoo recall ahead of the barcode-linked 250 ml recall. The bottles have different barcodes and batches. These results justify investigating variant confusion, not claiming that a reliable public safety service has been built.</w:t>
      </w:r>
    </w:p>
    <w:p>
      <w:r>
        <w:t>A second, exploratory question is whether dated customer complaints could have pointed to a product before its recall. Health Canada's 2025 notice for amika Mirrorball shampoo records 48 reports of foul odour and two reports of irritation or allergic reaction received by the company. [11] This question is gated: it continues beyond a single case study only if enough recalled products have dated reviews written before their notice. Product and batch matching remains the main contribution.</w:t>
      </w:r>
    </w:p>
    <w:p>
      <w:pPr>
        <w:pStyle w:val="Heading2"/>
      </w:pPr>
      <w:r>
        <w:t>Business problem</w:t>
      </w:r>
    </w:p>
    <w:p>
      <w:r>
        <w:t>A consumer or retailer may find several recalls with almost the same brand and product name. A notice can cover one batch, several batches or all lots. If search retrieves the wrong variant, or missing batch information is treated as a confirmed match, the person can receive an irrelevant warning or miss the applicable notice. The question is whether structured identifiers and carefully evaluated text matching can make this checking process more accurate and understandable.</w:t>
      </w:r>
    </w:p>
    <w:p>
      <w:pPr>
        <w:pStyle w:val="Heading2"/>
      </w:pPr>
      <w:r>
        <w:t>The decision the project supports</w:t>
      </w:r>
    </w:p>
    <w:p>
      <w:r>
        <w:t>For a product presented by a user, which published French notice is a plausible identity match, what variant and batch conditions must be checked, and what does that notice instruct the consumer to do? A missing match or a batch not listed in one notice does not establish safety.</w:t>
      </w:r>
    </w:p>
    <w:p>
      <w:pPr>
        <w:pStyle w:val="Heading2"/>
      </w:pPr>
      <w:r>
        <w:t>Scope and recommendation</w:t>
      </w:r>
    </w:p>
    <w:p>
      <w:r>
        <w:t>Proceed with data quality analysis, a reviewed matching benchmark and a narrow batch interpretation prototype. Use French notices as the primary records and UK aggregate statistics only as context. Indian deployment, live monitoring, general batch automation and reduced injuries require additional evidence. This report defines the problem and anticipated approach; completed feasibility observations are identified separately from planned work.</w:t>
      </w:r>
    </w:p>
    <w:p>
      <w:r>
        <w:br w:type="page"/>
      </w:r>
    </w:p>
    <w:p>
      <w:pPr>
        <w:pStyle w:val="Heading1"/>
      </w:pPr>
      <w:r>
        <w:t>Industry context and research foundation</w:t>
      </w:r>
    </w:p>
    <w:p>
      <w:pPr>
        <w:pStyle w:val="Heading2"/>
      </w:pPr>
      <w:r>
        <w:t>Current relevance to beauty and wellness</w:t>
      </w:r>
    </w:p>
    <w:p>
      <w:r>
        <w:t>The European Commission reports that cosmetics represented 36% of Safety Gate alerts validated in 2025. It also explains that stronger enforcement contributes to increasing alert counts. The statistic describes regulatory alerts, not the percentage of cosmetics on sale that are unsafe. This supports studying how published warnings reach the right product and person, without using alert totals as a market-wide risk estimate. [1]</w:t>
      </w:r>
    </w:p>
    <w:p>
      <w:r>
        <w:t>The UK Product Safety Database reports 833 notified products in the category cosmetics, personal care and grooming for 2025 to 2026, representing a rounded 25% of notified products. Notifications include unsafe and non-compliant products and are not interchangeable with French recall notices. Changed category definitions and reporting differences prevent a simple growth comparison with the previous year. [2]</w:t>
      </w:r>
    </w:p>
    <w:p>
      <w:pPr>
        <w:pStyle w:val="Heading2"/>
      </w:pPr>
      <w:r>
        <w:t>Public benefit and business relevance</w:t>
      </w:r>
    </w:p>
    <w:p>
      <w:r>
        <w:t>The proposed benefit is clearer identification of an applicable warning. For consumers, the useful outcome is correctly recognising the affected product, lot and official next step. For retailers, it is a better review queue for checking stock records and contacting the responsible product team. Brands could use a traceable error audit to improve the identifiers and conditions in their recall communication. These are proposed uses, not measured business results.</w:t>
      </w:r>
    </w:p>
    <w:p>
      <w:r>
        <w:t>From a marketing perspective, accurate targeting matters as much as message reach. A broad warning may create confusion across variants, while an obscure batch condition can make a relevant message hard to act on. The study will therefore measure relevant retrieval and instruction comprehension, rather than clicks, positive sentiment or promotional engagement. Recall communication is a safety task, not a sales campaign.</w:t>
      </w:r>
    </w:p>
    <w:p>
      <w:pPr>
        <w:pStyle w:val="Heading2"/>
      </w:pPr>
      <w:r>
        <w:t>Existing services and the contribution gap</w:t>
      </w:r>
    </w:p>
    <w:p>
      <w:r>
        <w:t>RappelConso already publishes official warnings. Alerte-Conso describes barcode scanning, stored lots, photos and product alerts; these are its developer-reported capabilities and have not been independently tested here. The Commission also describes online surveillance of previously alerted products. A new scanner alone would add little demonstrable value. The proposed contribution is a reproducible benchmark, visible errors and evidence for when a match should remain uncertain. [1, 3, 4]</w:t>
      </w:r>
    </w:p>
    <w:p>
      <w:pPr>
        <w:pStyle w:val="Heading2"/>
      </w:pPr>
      <w:r>
        <w:t>Academic and policy rationale</w:t>
      </w:r>
    </w:p>
    <w:p>
      <w:r>
        <w:t>OECD research on recall effectiveness examines the difficulty of measuring impact and the importance of communication and consumer awareness. It supports using direct task outcomes rather than asserting that publication itself prevents harm. [5]</w:t>
      </w:r>
    </w:p>
    <w:p>
      <w:r>
        <w:t>Li and colleagues study entity matching with pretrained language models: deciding whether two records describe the same real-world object. Yin and colleagues show that the way structured attributes are presented to language models can affect matching. These studies motivate preserving brand, name and size as distinct attributes. Neither establishes accuracy for these French cosmetic records; any model must be evaluated locally. [6, 7]</w:t>
      </w:r>
    </w:p>
    <w:p>
      <w:r>
        <w:br w:type="page"/>
      </w:r>
    </w:p>
    <w:p>
      <w:pPr>
        <w:pStyle w:val="Heading1"/>
      </w:pPr>
      <w:r>
        <w:t>Data availability and feasibility findings</w:t>
      </w:r>
    </w:p>
    <w:p>
      <w:r>
        <w:t>The notebook preserves source files, records hashes and separates three roles: official recall records, independent catalogue identities and aggregate industry context. A GTIN is the numeric product identifier represented by a retail barcode. The catalogue was downloaded on 2 October 2026 and checked for complete transfer and gzip integrity. Retrieval date is not a guarantee that each product entry is current. [3, 8, 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096"/>
        <w:gridCol w:w="4493"/>
      </w:tblGrid>
      <w:tr>
        <w:trPr>
          <w:cantSplit/>
          <w:tblHeader/>
        </w:trPr>
        <w:tc>
          <w:tcPr>
            <w:tcW w:type="dxa" w:w="2160"/>
            <w:vAlign w:val="center"/>
            <w:shd w:fill="E3ECF0"/>
            <w:tcMar>
              <w:top w:w="90" w:type="dxa"/>
              <w:left w:w="90" w:type="dxa"/>
              <w:bottom w:w="90" w:type="dxa"/>
              <w:right w:w="90" w:type="dxa"/>
            </w:tcMar>
          </w:tcPr>
          <w:p>
            <w:pPr>
              <w:spacing w:after="40" w:before="40" w:line="245" w:lineRule="auto"/>
            </w:pPr>
            <w:r>
              <w:rPr>
                <w:b/>
                <w:sz w:val="20"/>
              </w:rPr>
              <w:t>Source</w:t>
            </w:r>
          </w:p>
        </w:tc>
        <w:tc>
          <w:tcPr>
            <w:tcW w:type="dxa" w:w="3096"/>
            <w:vAlign w:val="center"/>
            <w:shd w:fill="E3ECF0"/>
            <w:tcMar>
              <w:top w:w="90" w:type="dxa"/>
              <w:left w:w="90" w:type="dxa"/>
              <w:bottom w:w="90" w:type="dxa"/>
              <w:right w:w="90" w:type="dxa"/>
            </w:tcMar>
          </w:tcPr>
          <w:p>
            <w:pPr>
              <w:spacing w:after="40" w:before="40" w:line="245" w:lineRule="auto"/>
            </w:pPr>
            <w:r>
              <w:rPr>
                <w:b/>
                <w:sz w:val="20"/>
              </w:rPr>
              <w:t>Role</w:t>
            </w:r>
          </w:p>
        </w:tc>
        <w:tc>
          <w:tcPr>
            <w:tcW w:type="dxa" w:w="4493"/>
            <w:vAlign w:val="center"/>
            <w:shd w:fill="E3ECF0"/>
            <w:tcMar>
              <w:top w:w="90" w:type="dxa"/>
              <w:left w:w="90" w:type="dxa"/>
              <w:bottom w:w="90" w:type="dxa"/>
              <w:right w:w="90" w:type="dxa"/>
            </w:tcMar>
          </w:tcPr>
          <w:p>
            <w:pPr>
              <w:spacing w:after="40" w:before="40" w:line="245" w:lineRule="auto"/>
            </w:pPr>
            <w:r>
              <w:rPr>
                <w:b/>
                <w:sz w:val="20"/>
              </w:rPr>
              <w:t>Important limitation</w:t>
            </w:r>
          </w:p>
        </w:tc>
      </w:tr>
      <w:tr>
        <w:trPr>
          <w:cantSplit/>
        </w:trPr>
        <w:tc>
          <w:tcPr>
            <w:tcW w:type="dxa" w:w="2160"/>
            <w:vAlign w:val="center"/>
            <w:shd w:fill="FFFFFF"/>
            <w:tcMar>
              <w:top w:w="90" w:type="dxa"/>
              <w:left w:w="90" w:type="dxa"/>
              <w:bottom w:w="90" w:type="dxa"/>
              <w:right w:w="90" w:type="dxa"/>
            </w:tcMar>
          </w:tcPr>
          <w:p>
            <w:pPr>
              <w:spacing w:after="40" w:before="40" w:line="245" w:lineRule="auto"/>
            </w:pPr>
            <w:r>
              <w:rPr>
                <w:b w:val="0"/>
                <w:sz w:val="20"/>
              </w:rPr>
              <w:t>France RappelConso</w:t>
            </w:r>
          </w:p>
        </w:tc>
        <w:tc>
          <w:tcPr>
            <w:tcW w:type="dxa" w:w="3096"/>
            <w:vAlign w:val="center"/>
            <w:shd w:fill="FFFFFF"/>
            <w:tcMar>
              <w:top w:w="90" w:type="dxa"/>
              <w:left w:w="90" w:type="dxa"/>
              <w:bottom w:w="90" w:type="dxa"/>
              <w:right w:w="90" w:type="dxa"/>
            </w:tcMar>
          </w:tcPr>
          <w:p>
            <w:pPr>
              <w:spacing w:after="40" w:before="40" w:line="245" w:lineRule="auto"/>
            </w:pPr>
            <w:r>
              <w:rPr>
                <w:b w:val="0"/>
                <w:sz w:val="20"/>
              </w:rPr>
              <w:t>296 retained cosmetic notices</w:t>
            </w:r>
          </w:p>
        </w:tc>
        <w:tc>
          <w:tcPr>
            <w:tcW w:type="dxa" w:w="4493"/>
            <w:vAlign w:val="center"/>
            <w:shd w:fill="FFFFFF"/>
            <w:tcMar>
              <w:top w:w="90" w:type="dxa"/>
              <w:left w:w="90" w:type="dxa"/>
              <w:bottom w:w="90" w:type="dxa"/>
              <w:right w:w="90" w:type="dxa"/>
            </w:tcMar>
          </w:tcPr>
          <w:p>
            <w:pPr>
              <w:spacing w:after="40" w:before="40" w:line="245" w:lineRule="auto"/>
            </w:pPr>
            <w:r>
              <w:rPr>
                <w:b w:val="0"/>
                <w:sz w:val="20"/>
              </w:rPr>
              <w:t>Published French recalls, not sales or injury events</w:t>
            </w:r>
          </w:p>
        </w:tc>
      </w:tr>
      <w:tr>
        <w:trPr>
          <w:cantSplit/>
        </w:trPr>
        <w:tc>
          <w:tcPr>
            <w:tcW w:type="dxa" w:w="2160"/>
            <w:vAlign w:val="center"/>
            <w:shd w:fill="F5F7F8"/>
            <w:tcMar>
              <w:top w:w="90" w:type="dxa"/>
              <w:left w:w="90" w:type="dxa"/>
              <w:bottom w:w="90" w:type="dxa"/>
              <w:right w:w="90" w:type="dxa"/>
            </w:tcMar>
          </w:tcPr>
          <w:p>
            <w:pPr>
              <w:spacing w:after="40" w:before="40" w:line="245" w:lineRule="auto"/>
            </w:pPr>
            <w:r>
              <w:rPr>
                <w:b w:val="0"/>
                <w:sz w:val="20"/>
              </w:rPr>
              <w:t>Open Beauty Facts</w:t>
            </w:r>
          </w:p>
        </w:tc>
        <w:tc>
          <w:tcPr>
            <w:tcW w:type="dxa" w:w="3096"/>
            <w:vAlign w:val="center"/>
            <w:shd w:fill="F5F7F8"/>
            <w:tcMar>
              <w:top w:w="90" w:type="dxa"/>
              <w:left w:w="90" w:type="dxa"/>
              <w:bottom w:w="90" w:type="dxa"/>
              <w:right w:w="90" w:type="dxa"/>
            </w:tcMar>
          </w:tcPr>
          <w:p>
            <w:pPr>
              <w:spacing w:after="40" w:before="40" w:line="245" w:lineRule="auto"/>
            </w:pPr>
            <w:r>
              <w:rPr>
                <w:b w:val="0"/>
                <w:sz w:val="20"/>
              </w:rPr>
              <w:t>64,237 catalogue records; 62,505 accepted GTIN identities</w:t>
            </w:r>
          </w:p>
        </w:tc>
        <w:tc>
          <w:tcPr>
            <w:tcW w:type="dxa" w:w="4493"/>
            <w:vAlign w:val="center"/>
            <w:shd w:fill="F5F7F8"/>
            <w:tcMar>
              <w:top w:w="90" w:type="dxa"/>
              <w:left w:w="90" w:type="dxa"/>
              <w:bottom w:w="90" w:type="dxa"/>
              <w:right w:w="90" w:type="dxa"/>
            </w:tcMar>
          </w:tcPr>
          <w:p>
            <w:pPr>
              <w:spacing w:after="40" w:before="40" w:line="245" w:lineRule="auto"/>
            </w:pPr>
            <w:r>
              <w:rPr>
                <w:b w:val="0"/>
                <w:sz w:val="20"/>
              </w:rPr>
              <w:t>Citizen-contributed names; missing fields and identity errors possible</w:t>
            </w:r>
          </w:p>
        </w:tc>
      </w:tr>
      <w:tr>
        <w:trPr>
          <w:cantSplit/>
        </w:trPr>
        <w:tc>
          <w:tcPr>
            <w:tcW w:type="dxa" w:w="2160"/>
            <w:vAlign w:val="center"/>
            <w:shd w:fill="FFFFFF"/>
            <w:tcMar>
              <w:top w:w="90" w:type="dxa"/>
              <w:left w:w="90" w:type="dxa"/>
              <w:bottom w:w="90" w:type="dxa"/>
              <w:right w:w="90" w:type="dxa"/>
            </w:tcMar>
          </w:tcPr>
          <w:p>
            <w:pPr>
              <w:spacing w:after="40" w:before="40" w:line="245" w:lineRule="auto"/>
            </w:pPr>
            <w:r>
              <w:rPr>
                <w:b w:val="0"/>
                <w:sz w:val="20"/>
              </w:rPr>
              <w:t>UK PSD tables</w:t>
            </w:r>
          </w:p>
        </w:tc>
        <w:tc>
          <w:tcPr>
            <w:tcW w:type="dxa" w:w="3096"/>
            <w:vAlign w:val="center"/>
            <w:shd w:fill="FFFFFF"/>
            <w:tcMar>
              <w:top w:w="90" w:type="dxa"/>
              <w:left w:w="90" w:type="dxa"/>
              <w:bottom w:w="90" w:type="dxa"/>
              <w:right w:w="90" w:type="dxa"/>
            </w:tcMar>
          </w:tcPr>
          <w:p>
            <w:pPr>
              <w:spacing w:after="40" w:before="40" w:line="245" w:lineRule="auto"/>
            </w:pPr>
            <w:r>
              <w:rPr>
                <w:b w:val="0"/>
                <w:sz w:val="20"/>
              </w:rPr>
              <w:t>Supporting sector context</w:t>
            </w:r>
          </w:p>
        </w:tc>
        <w:tc>
          <w:tcPr>
            <w:tcW w:type="dxa" w:w="4493"/>
            <w:vAlign w:val="center"/>
            <w:shd w:fill="FFFFFF"/>
            <w:tcMar>
              <w:top w:w="90" w:type="dxa"/>
              <w:left w:w="90" w:type="dxa"/>
              <w:bottom w:w="90" w:type="dxa"/>
              <w:right w:w="90" w:type="dxa"/>
            </w:tcMar>
          </w:tcPr>
          <w:p>
            <w:pPr>
              <w:spacing w:after="40" w:before="40" w:line="245" w:lineRule="auto"/>
            </w:pPr>
            <w:r>
              <w:rPr>
                <w:b w:val="0"/>
                <w:sz w:val="20"/>
              </w:rPr>
              <w:t>Aggregate notifications; no product-level batch join</w:t>
            </w:r>
          </w:p>
        </w:tc>
      </w:tr>
    </w:tbl>
    <w:p>
      <w:pPr>
        <w:spacing w:after="0"/>
      </w:pPr>
    </w:p>
    <w:p>
      <w:pPr>
        <w:keepNext/>
      </w:pPr>
      <w:r>
        <w:drawing>
          <wp:inline xmlns:a="http://schemas.openxmlformats.org/drawingml/2006/main" xmlns:pic="http://schemas.openxmlformats.org/drawingml/2006/picture">
            <wp:extent cx="5989320" cy="2949148"/>
            <wp:docPr id="1" name="Picture 1" descr="296 cosmetic notices, 197 with accepted barcodes, 22 with catalogue overlap, and 13 with named catalogue overlap."/>
            <wp:cNvGraphicFramePr>
              <a:graphicFrameLocks noChangeAspect="1"/>
            </wp:cNvGraphicFramePr>
            <a:graphic>
              <a:graphicData uri="http://schemas.openxmlformats.org/drawingml/2006/picture">
                <pic:pic>
                  <pic:nvPicPr>
                    <pic:cNvPr id="0" name="notebook-chart-4.png"/>
                    <pic:cNvPicPr/>
                  </pic:nvPicPr>
                  <pic:blipFill>
                    <a:blip r:embed="rId10"/>
                    <a:stretch>
                      <a:fillRect/>
                    </a:stretch>
                  </pic:blipFill>
                  <pic:spPr>
                    <a:xfrm>
                      <a:off x="0" y="0"/>
                      <a:ext cx="5989320" cy="2949148"/>
                    </a:xfrm>
                    <a:prstGeom prst="rect"/>
                  </pic:spPr>
                </pic:pic>
              </a:graphicData>
            </a:graphic>
          </wp:inline>
        </w:drawing>
      </w:r>
    </w:p>
    <w:p>
      <w:pPr>
        <w:spacing w:after="160"/>
      </w:pPr>
      <w:r>
        <w:rPr>
          <w:sz w:val="18"/>
        </w:rPr>
        <w:t>Figure 1. Distinct notices retained at each coverage step. Counts describe the saved snapshots.</w:t>
      </w:r>
    </w:p>
    <w:p>
      <w:r>
        <w:t>The barcode join yields 30 distinct product identities across 22 notices, only 7.4% of the retained notices. Of those identities, 17 have usable catalogue names and span 13 notices. Product counts differ from notice counts because a notice can cover several products. The wider catalogue cannot be treated as a complete inventory of the French market.</w:t>
      </w:r>
    </w:p>
    <w:p>
      <w:r>
        <w:t>The conservative parser accepts at least one GTIN in 197 of 296 notices, or 66.6%. The remaining notices can contain references or unusual formats; they are not all missing identifiers. Five notices lack consumer instructions in the exported field. The tool should expose these gaps and link to the original notice rather than invent guidance.</w:t>
      </w:r>
    </w:p>
    <w:p>
      <w:r>
        <w:br w:type="page"/>
      </w:r>
    </w:p>
    <w:p>
      <w:pPr>
        <w:pStyle w:val="Heading1"/>
      </w:pPr>
      <w:r>
        <w:t>A concrete matching failure and initial results</w:t>
      </w:r>
    </w:p>
    <w:p>
      <w:r>
        <w:t>The independent catalogue describes an Activilong curl-activating shampoo with GTIN 3327520004026 and quantity 250 ml. The barcode links it to French notice 2026-08-0072. Both text methods instead rank an older notice describing a 300 ml version first. The comparison below comes from the official downloaded records. The 250 ml notice was also checked on the official website. [3, 10]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152"/>
        <w:gridCol w:w="2880"/>
        <w:gridCol w:w="2117"/>
      </w:tblGrid>
      <w:tr>
        <w:trPr>
          <w:cantSplit/>
          <w:tblHeader/>
        </w:trPr>
        <w:tc>
          <w:tcPr>
            <w:tcW w:type="dxa" w:w="3600"/>
            <w:vAlign w:val="center"/>
            <w:shd w:fill="E3ECF0"/>
            <w:tcMar>
              <w:top w:w="90" w:type="dxa"/>
              <w:left w:w="90" w:type="dxa"/>
              <w:bottom w:w="90" w:type="dxa"/>
              <w:right w:w="90" w:type="dxa"/>
            </w:tcMar>
          </w:tcPr>
          <w:p>
            <w:pPr>
              <w:spacing w:after="40" w:before="40" w:line="245" w:lineRule="auto"/>
            </w:pPr>
            <w:r>
              <w:rPr>
                <w:b/>
                <w:sz w:val="20"/>
              </w:rPr>
              <w:t>Record</w:t>
            </w:r>
          </w:p>
        </w:tc>
        <w:tc>
          <w:tcPr>
            <w:tcW w:type="dxa" w:w="1152"/>
            <w:vAlign w:val="center"/>
            <w:shd w:fill="E3ECF0"/>
            <w:tcMar>
              <w:top w:w="90" w:type="dxa"/>
              <w:left w:w="90" w:type="dxa"/>
              <w:bottom w:w="90" w:type="dxa"/>
              <w:right w:w="90" w:type="dxa"/>
            </w:tcMar>
          </w:tcPr>
          <w:p>
            <w:pPr>
              <w:spacing w:after="40" w:before="40" w:line="245" w:lineRule="auto"/>
            </w:pPr>
            <w:r>
              <w:rPr>
                <w:b/>
                <w:sz w:val="20"/>
              </w:rPr>
              <w:t>Quantity</w:t>
            </w:r>
          </w:p>
        </w:tc>
        <w:tc>
          <w:tcPr>
            <w:tcW w:type="dxa" w:w="2880"/>
            <w:vAlign w:val="center"/>
            <w:shd w:fill="E3ECF0"/>
            <w:tcMar>
              <w:top w:w="90" w:type="dxa"/>
              <w:left w:w="90" w:type="dxa"/>
              <w:bottom w:w="90" w:type="dxa"/>
              <w:right w:w="90" w:type="dxa"/>
            </w:tcMar>
          </w:tcPr>
          <w:p>
            <w:pPr>
              <w:spacing w:after="40" w:before="40" w:line="245" w:lineRule="auto"/>
            </w:pPr>
            <w:r>
              <w:rPr>
                <w:b/>
                <w:sz w:val="20"/>
              </w:rPr>
              <w:t>Barcode</w:t>
            </w:r>
          </w:p>
        </w:tc>
        <w:tc>
          <w:tcPr>
            <w:tcW w:type="dxa" w:w="2117"/>
            <w:vAlign w:val="center"/>
            <w:shd w:fill="E3ECF0"/>
            <w:tcMar>
              <w:top w:w="90" w:type="dxa"/>
              <w:left w:w="90" w:type="dxa"/>
              <w:bottom w:w="90" w:type="dxa"/>
              <w:right w:w="90" w:type="dxa"/>
            </w:tcMar>
          </w:tcPr>
          <w:p>
            <w:pPr>
              <w:spacing w:after="40" w:before="40" w:line="245" w:lineRule="auto"/>
            </w:pPr>
            <w:r>
              <w:rPr>
                <w:b/>
                <w:sz w:val="20"/>
              </w:rPr>
              <w:t>Batch</w:t>
            </w:r>
          </w:p>
        </w:tc>
      </w:tr>
      <w:tr>
        <w:trPr>
          <w:cantSplit/>
        </w:trPr>
        <w:tc>
          <w:tcPr>
            <w:tcW w:type="dxa" w:w="3600"/>
            <w:vAlign w:val="center"/>
            <w:shd w:fill="FFFFFF"/>
            <w:tcMar>
              <w:top w:w="90" w:type="dxa"/>
              <w:left w:w="90" w:type="dxa"/>
              <w:bottom w:w="90" w:type="dxa"/>
              <w:right w:w="90" w:type="dxa"/>
            </w:tcMar>
          </w:tcPr>
          <w:p>
            <w:pPr>
              <w:spacing w:after="40" w:before="40" w:line="245" w:lineRule="auto"/>
            </w:pPr>
            <w:r>
              <w:rPr>
                <w:b w:val="0"/>
                <w:sz w:val="20"/>
              </w:rPr>
              <w:t>Linked notice 2026-08-0072</w:t>
            </w:r>
          </w:p>
        </w:tc>
        <w:tc>
          <w:tcPr>
            <w:tcW w:type="dxa" w:w="1152"/>
            <w:vAlign w:val="center"/>
            <w:shd w:fill="FFFFFF"/>
            <w:tcMar>
              <w:top w:w="90" w:type="dxa"/>
              <w:left w:w="90" w:type="dxa"/>
              <w:bottom w:w="90" w:type="dxa"/>
              <w:right w:w="90" w:type="dxa"/>
            </w:tcMar>
          </w:tcPr>
          <w:p>
            <w:pPr>
              <w:spacing w:after="40" w:before="40" w:line="245" w:lineRule="auto"/>
            </w:pPr>
            <w:r>
              <w:rPr>
                <w:b w:val="0"/>
                <w:sz w:val="20"/>
              </w:rPr>
              <w:t>250 ml</w:t>
            </w:r>
          </w:p>
        </w:tc>
        <w:tc>
          <w:tcPr>
            <w:tcW w:type="dxa" w:w="2880"/>
            <w:vAlign w:val="center"/>
            <w:shd w:fill="FFFFFF"/>
            <w:tcMar>
              <w:top w:w="90" w:type="dxa"/>
              <w:left w:w="90" w:type="dxa"/>
              <w:bottom w:w="90" w:type="dxa"/>
              <w:right w:w="90" w:type="dxa"/>
            </w:tcMar>
          </w:tcPr>
          <w:p>
            <w:pPr>
              <w:spacing w:after="40" w:before="40" w:line="245" w:lineRule="auto"/>
            </w:pPr>
            <w:r>
              <w:rPr>
                <w:b w:val="0"/>
                <w:sz w:val="20"/>
              </w:rPr>
              <w:t>3327520004026</w:t>
            </w:r>
          </w:p>
        </w:tc>
        <w:tc>
          <w:tcPr>
            <w:tcW w:type="dxa" w:w="2117"/>
            <w:vAlign w:val="center"/>
            <w:shd w:fill="FFFFFF"/>
            <w:tcMar>
              <w:top w:w="90" w:type="dxa"/>
              <w:left w:w="90" w:type="dxa"/>
              <w:bottom w:w="90" w:type="dxa"/>
              <w:right w:w="90" w:type="dxa"/>
            </w:tcMar>
          </w:tcPr>
          <w:p>
            <w:pPr>
              <w:spacing w:after="40" w:before="40" w:line="245" w:lineRule="auto"/>
            </w:pPr>
            <w:r>
              <w:rPr>
                <w:b w:val="0"/>
                <w:sz w:val="20"/>
              </w:rPr>
              <w:t>37019</w:t>
            </w:r>
          </w:p>
        </w:tc>
      </w:tr>
      <w:tr>
        <w:trPr>
          <w:cantSplit/>
        </w:trPr>
        <w:tc>
          <w:tcPr>
            <w:tcW w:type="dxa" w:w="3600"/>
            <w:vAlign w:val="center"/>
            <w:shd w:fill="F5F7F8"/>
            <w:tcMar>
              <w:top w:w="90" w:type="dxa"/>
              <w:left w:w="90" w:type="dxa"/>
              <w:bottom w:w="90" w:type="dxa"/>
              <w:right w:w="90" w:type="dxa"/>
            </w:tcMar>
          </w:tcPr>
          <w:p>
            <w:pPr>
              <w:spacing w:after="40" w:before="40" w:line="245" w:lineRule="auto"/>
            </w:pPr>
            <w:r>
              <w:rPr>
                <w:b w:val="0"/>
                <w:sz w:val="20"/>
              </w:rPr>
              <w:t>First text suggestion 2021-09-0279</w:t>
            </w:r>
          </w:p>
        </w:tc>
        <w:tc>
          <w:tcPr>
            <w:tcW w:type="dxa" w:w="1152"/>
            <w:vAlign w:val="center"/>
            <w:shd w:fill="F5F7F8"/>
            <w:tcMar>
              <w:top w:w="90" w:type="dxa"/>
              <w:left w:w="90" w:type="dxa"/>
              <w:bottom w:w="90" w:type="dxa"/>
              <w:right w:w="90" w:type="dxa"/>
            </w:tcMar>
          </w:tcPr>
          <w:p>
            <w:pPr>
              <w:spacing w:after="40" w:before="40" w:line="245" w:lineRule="auto"/>
            </w:pPr>
            <w:r>
              <w:rPr>
                <w:b w:val="0"/>
                <w:sz w:val="20"/>
              </w:rPr>
              <w:t>300 ml</w:t>
            </w:r>
          </w:p>
        </w:tc>
        <w:tc>
          <w:tcPr>
            <w:tcW w:type="dxa" w:w="2880"/>
            <w:vAlign w:val="center"/>
            <w:shd w:fill="F5F7F8"/>
            <w:tcMar>
              <w:top w:w="90" w:type="dxa"/>
              <w:left w:w="90" w:type="dxa"/>
              <w:bottom w:w="90" w:type="dxa"/>
              <w:right w:w="90" w:type="dxa"/>
            </w:tcMar>
          </w:tcPr>
          <w:p>
            <w:pPr>
              <w:spacing w:after="40" w:before="40" w:line="245" w:lineRule="auto"/>
            </w:pPr>
            <w:r>
              <w:rPr>
                <w:b w:val="0"/>
                <w:sz w:val="20"/>
              </w:rPr>
              <w:t>3327520004439</w:t>
            </w:r>
          </w:p>
        </w:tc>
        <w:tc>
          <w:tcPr>
            <w:tcW w:type="dxa" w:w="2117"/>
            <w:vAlign w:val="center"/>
            <w:shd w:fill="F5F7F8"/>
            <w:tcMar>
              <w:top w:w="90" w:type="dxa"/>
              <w:left w:w="90" w:type="dxa"/>
              <w:bottom w:w="90" w:type="dxa"/>
              <w:right w:w="90" w:type="dxa"/>
            </w:tcMar>
          </w:tcPr>
          <w:p>
            <w:pPr>
              <w:spacing w:after="40" w:before="40" w:line="245" w:lineRule="auto"/>
            </w:pPr>
            <w:r>
              <w:rPr>
                <w:b w:val="0"/>
                <w:sz w:val="20"/>
              </w:rPr>
              <w:t>28972</w:t>
            </w:r>
          </w:p>
        </w:tc>
      </w:tr>
    </w:tbl>
    <w:p>
      <w:pPr>
        <w:spacing w:after="0"/>
      </w:pPr>
    </w:p>
    <w:p>
      <w:r>
        <w:t>The character similarity score for the wrong first suggestion is about 0.906. A similarity score is not a probability that a recall applies. The catalogue quantity is stored separately and was not included in the name-only query. This makes package size a concrete feature to investigate in the next phase, alongside identity and batch checks.</w:t>
      </w:r>
    </w:p>
    <w:p>
      <w:pPr>
        <w:pStyle w:val="Heading2"/>
      </w:pPr>
      <w:r>
        <w:t>What was compared</w:t>
      </w:r>
    </w:p>
    <w:p>
      <w:r>
        <w:t>Word TF-IDF weights distinctive words. Character TF-IDF compares short spelling fragments. Both search the same notice titles using independently written catalogue names and brands. Barcode joins provide provisional identity labels, not affected-batch labels. A fixed hash split assigns 9 identities to development and 8 to evaluation. No setting was tuned using these evaluation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2232"/>
        <w:gridCol w:w="2736"/>
        <w:gridCol w:w="2693"/>
      </w:tblGrid>
      <w:tr>
        <w:trPr>
          <w:cantSplit/>
          <w:tblHeader/>
        </w:trPr>
        <w:tc>
          <w:tcPr>
            <w:tcW w:type="dxa" w:w="2088"/>
            <w:vAlign w:val="center"/>
            <w:shd w:fill="E3ECF0"/>
            <w:tcMar>
              <w:top w:w="90" w:type="dxa"/>
              <w:left w:w="90" w:type="dxa"/>
              <w:bottom w:w="90" w:type="dxa"/>
              <w:right w:w="90" w:type="dxa"/>
            </w:tcMar>
          </w:tcPr>
          <w:p>
            <w:pPr>
              <w:spacing w:after="40" w:before="40" w:line="245" w:lineRule="auto"/>
            </w:pPr>
            <w:r>
              <w:rPr>
                <w:b/>
                <w:sz w:val="20"/>
              </w:rPr>
              <w:t>Evaluation method</w:t>
            </w:r>
          </w:p>
        </w:tc>
        <w:tc>
          <w:tcPr>
            <w:tcW w:type="dxa" w:w="2232"/>
            <w:vAlign w:val="center"/>
            <w:shd w:fill="E3ECF0"/>
            <w:tcMar>
              <w:top w:w="90" w:type="dxa"/>
              <w:left w:w="90" w:type="dxa"/>
              <w:bottom w:w="90" w:type="dxa"/>
              <w:right w:w="90" w:type="dxa"/>
            </w:tcMar>
          </w:tcPr>
          <w:p>
            <w:pPr>
              <w:spacing w:after="40" w:before="40" w:line="245" w:lineRule="auto"/>
            </w:pPr>
            <w:r>
              <w:rPr>
                <w:b/>
                <w:sz w:val="20"/>
              </w:rPr>
              <w:t>First linked notice</w:t>
            </w:r>
          </w:p>
        </w:tc>
        <w:tc>
          <w:tcPr>
            <w:tcW w:type="dxa" w:w="2736"/>
            <w:vAlign w:val="center"/>
            <w:shd w:fill="E3ECF0"/>
            <w:tcMar>
              <w:top w:w="90" w:type="dxa"/>
              <w:left w:w="90" w:type="dxa"/>
              <w:bottom w:w="90" w:type="dxa"/>
              <w:right w:w="90" w:type="dxa"/>
            </w:tcMar>
          </w:tcPr>
          <w:p>
            <w:pPr>
              <w:spacing w:after="40" w:before="40" w:line="245" w:lineRule="auto"/>
            </w:pPr>
            <w:r>
              <w:rPr>
                <w:b/>
                <w:sz w:val="20"/>
              </w:rPr>
              <w:t>Linked notice in top three</w:t>
            </w:r>
          </w:p>
        </w:tc>
        <w:tc>
          <w:tcPr>
            <w:tcW w:type="dxa" w:w="2693"/>
            <w:vAlign w:val="center"/>
            <w:shd w:fill="E3ECF0"/>
            <w:tcMar>
              <w:top w:w="90" w:type="dxa"/>
              <w:left w:w="90" w:type="dxa"/>
              <w:bottom w:w="90" w:type="dxa"/>
              <w:right w:w="90" w:type="dxa"/>
            </w:tcMar>
          </w:tcPr>
          <w:p>
            <w:pPr>
              <w:spacing w:after="40" w:before="40" w:line="245" w:lineRule="auto"/>
            </w:pPr>
            <w:r>
              <w:rPr>
                <w:b/>
                <w:sz w:val="20"/>
              </w:rPr>
              <w:t>95% interval for top one</w:t>
            </w:r>
          </w:p>
        </w:tc>
      </w:tr>
      <w:tr>
        <w:trPr>
          <w:cantSplit/>
        </w:trPr>
        <w:tc>
          <w:tcPr>
            <w:tcW w:type="dxa" w:w="2088"/>
            <w:vAlign w:val="center"/>
            <w:shd w:fill="FFFFFF"/>
            <w:tcMar>
              <w:top w:w="90" w:type="dxa"/>
              <w:left w:w="90" w:type="dxa"/>
              <w:bottom w:w="90" w:type="dxa"/>
              <w:right w:w="90" w:type="dxa"/>
            </w:tcMar>
          </w:tcPr>
          <w:p>
            <w:pPr>
              <w:spacing w:after="40" w:before="40" w:line="245" w:lineRule="auto"/>
            </w:pPr>
            <w:r>
              <w:rPr>
                <w:b w:val="0"/>
                <w:sz w:val="20"/>
              </w:rPr>
              <w:t>Word TF-IDF</w:t>
            </w:r>
          </w:p>
        </w:tc>
        <w:tc>
          <w:tcPr>
            <w:tcW w:type="dxa" w:w="2232"/>
            <w:vAlign w:val="center"/>
            <w:shd w:fill="FFFFFF"/>
            <w:tcMar>
              <w:top w:w="90" w:type="dxa"/>
              <w:left w:w="90" w:type="dxa"/>
              <w:bottom w:w="90" w:type="dxa"/>
              <w:right w:w="90" w:type="dxa"/>
            </w:tcMar>
          </w:tcPr>
          <w:p>
            <w:pPr>
              <w:spacing w:after="40" w:before="40" w:line="245" w:lineRule="auto"/>
            </w:pPr>
            <w:r>
              <w:rPr>
                <w:b w:val="0"/>
                <w:sz w:val="20"/>
              </w:rPr>
              <w:t>6 of 8 (75.0%)</w:t>
            </w:r>
          </w:p>
        </w:tc>
        <w:tc>
          <w:tcPr>
            <w:tcW w:type="dxa" w:w="2736"/>
            <w:vAlign w:val="center"/>
            <w:shd w:fill="FFFFFF"/>
            <w:tcMar>
              <w:top w:w="90" w:type="dxa"/>
              <w:left w:w="90" w:type="dxa"/>
              <w:bottom w:w="90" w:type="dxa"/>
              <w:right w:w="90" w:type="dxa"/>
            </w:tcMar>
          </w:tcPr>
          <w:p>
            <w:pPr>
              <w:spacing w:after="40" w:before="40" w:line="245" w:lineRule="auto"/>
            </w:pPr>
            <w:r>
              <w:rPr>
                <w:b w:val="0"/>
                <w:sz w:val="20"/>
              </w:rPr>
              <w:t>7 of 8 (87.5%)</w:t>
            </w:r>
          </w:p>
        </w:tc>
        <w:tc>
          <w:tcPr>
            <w:tcW w:type="dxa" w:w="2693"/>
            <w:vAlign w:val="center"/>
            <w:shd w:fill="FFFFFF"/>
            <w:tcMar>
              <w:top w:w="90" w:type="dxa"/>
              <w:left w:w="90" w:type="dxa"/>
              <w:bottom w:w="90" w:type="dxa"/>
              <w:right w:w="90" w:type="dxa"/>
            </w:tcMar>
          </w:tcPr>
          <w:p>
            <w:pPr>
              <w:spacing w:after="40" w:before="40" w:line="245" w:lineRule="auto"/>
            </w:pPr>
            <w:r>
              <w:rPr>
                <w:b w:val="0"/>
                <w:sz w:val="20"/>
              </w:rPr>
              <w:t>40.9% to 92.9%</w:t>
            </w:r>
          </w:p>
        </w:tc>
      </w:tr>
      <w:tr>
        <w:trPr>
          <w:cantSplit/>
        </w:trPr>
        <w:tc>
          <w:tcPr>
            <w:tcW w:type="dxa" w:w="2088"/>
            <w:vAlign w:val="center"/>
            <w:shd w:fill="F5F7F8"/>
            <w:tcMar>
              <w:top w:w="90" w:type="dxa"/>
              <w:left w:w="90" w:type="dxa"/>
              <w:bottom w:w="90" w:type="dxa"/>
              <w:right w:w="90" w:type="dxa"/>
            </w:tcMar>
          </w:tcPr>
          <w:p>
            <w:pPr>
              <w:spacing w:after="40" w:before="40" w:line="245" w:lineRule="auto"/>
            </w:pPr>
            <w:r>
              <w:rPr>
                <w:b w:val="0"/>
                <w:sz w:val="20"/>
              </w:rPr>
              <w:t>Character TF-IDF</w:t>
            </w:r>
          </w:p>
        </w:tc>
        <w:tc>
          <w:tcPr>
            <w:tcW w:type="dxa" w:w="2232"/>
            <w:vAlign w:val="center"/>
            <w:shd w:fill="F5F7F8"/>
            <w:tcMar>
              <w:top w:w="90" w:type="dxa"/>
              <w:left w:w="90" w:type="dxa"/>
              <w:bottom w:w="90" w:type="dxa"/>
              <w:right w:w="90" w:type="dxa"/>
            </w:tcMar>
          </w:tcPr>
          <w:p>
            <w:pPr>
              <w:spacing w:after="40" w:before="40" w:line="245" w:lineRule="auto"/>
            </w:pPr>
            <w:r>
              <w:rPr>
                <w:b w:val="0"/>
                <w:sz w:val="20"/>
              </w:rPr>
              <w:t>5 of 8 (62.5%)</w:t>
            </w:r>
          </w:p>
        </w:tc>
        <w:tc>
          <w:tcPr>
            <w:tcW w:type="dxa" w:w="2736"/>
            <w:vAlign w:val="center"/>
            <w:shd w:fill="F5F7F8"/>
            <w:tcMar>
              <w:top w:w="90" w:type="dxa"/>
              <w:left w:w="90" w:type="dxa"/>
              <w:bottom w:w="90" w:type="dxa"/>
              <w:right w:w="90" w:type="dxa"/>
            </w:tcMar>
          </w:tcPr>
          <w:p>
            <w:pPr>
              <w:spacing w:after="40" w:before="40" w:line="245" w:lineRule="auto"/>
            </w:pPr>
            <w:r>
              <w:rPr>
                <w:b w:val="0"/>
                <w:sz w:val="20"/>
              </w:rPr>
              <w:t>7 of 8 (87.5%)</w:t>
            </w:r>
          </w:p>
        </w:tc>
        <w:tc>
          <w:tcPr>
            <w:tcW w:type="dxa" w:w="2693"/>
            <w:vAlign w:val="center"/>
            <w:shd w:fill="F5F7F8"/>
            <w:tcMar>
              <w:top w:w="90" w:type="dxa"/>
              <w:left w:w="90" w:type="dxa"/>
              <w:bottom w:w="90" w:type="dxa"/>
              <w:right w:w="90" w:type="dxa"/>
            </w:tcMar>
          </w:tcPr>
          <w:p>
            <w:pPr>
              <w:spacing w:after="40" w:before="40" w:line="245" w:lineRule="auto"/>
            </w:pPr>
            <w:r>
              <w:rPr>
                <w:b w:val="0"/>
                <w:sz w:val="20"/>
              </w:rPr>
              <w:t>30.6% to 86.3%</w:t>
            </w:r>
          </w:p>
        </w:tc>
      </w:tr>
    </w:tbl>
    <w:p>
      <w:pPr>
        <w:spacing w:after="0"/>
      </w:pPr>
    </w:p>
    <w:p>
      <w:r>
        <w:t>These are descriptive feasibility results from only eight evaluation products. The intervals are wide, and related products can weaken the independence assumption. This benchmark has now been inspected, so it is not an untouched final test set. It does not prove that either method is superior in the market.</w:t>
      </w:r>
    </w:p>
    <w:p>
      <w:pPr>
        <w:pStyle w:val="Heading2"/>
      </w:pPr>
      <w:r>
        <w:t>Other checks completed</w:t>
      </w:r>
    </w:p>
    <w:p>
      <w:r>
        <w:t>A stress test sampled 30 named, same-brand catalogue identities absent from the accepted recall index. Character search made one suggestion above an illustrative 0.65 threshold; word search made none. These are unsupported identity suggestions, not confirmed false safety alerts, because absent barcodes do not prove a product is unaffected. Five deterministic batch cases and an invalid-barcode rejection passed for the single reviewed 250 ml notice. They demonstrate code behaviour, not general batch accuracy.</w:t>
      </w:r>
    </w:p>
    <w:p>
      <w:r>
        <w:br w:type="page"/>
      </w:r>
    </w:p>
    <w:p>
      <w:pPr>
        <w:pStyle w:val="Heading1"/>
      </w:pPr>
      <w:r>
        <w:t>Objectives research questions and hypotheses</w:t>
      </w:r>
    </w:p>
    <w:p>
      <w:pPr>
        <w:pStyle w:val="Heading2"/>
      </w:pPr>
      <w:r>
        <w:t>Primary objective</w:t>
      </w:r>
    </w:p>
    <w:p>
      <w:r>
        <w:t>Determine whether public cosmetic recall records and independently described products can support a transparent matching workflow that distinguishes identity, variant, batch applicability and unresolved information. The first deliverable is a reviewed benchmark and error taxonomy. A consumer or retailer prototype is conditional on sufficient evidence.</w:t>
      </w:r>
    </w:p>
    <w:p>
      <w:pPr>
        <w:pStyle w:val="Heading2"/>
      </w:pPr>
      <w:r>
        <w:t>Question one Product identity</w:t>
      </w:r>
    </w:p>
    <w:p>
      <w:r>
        <w:t>Does adding validated barcode evidence reduce incorrect product-identity suggestions compared with names alone? Hypothesis H1: among reviewed cases with usable GTINs, identity confirmation based on exact identifiers has fewer wrong-variant matches. Compare matched pairs and confusing alternatives reviewed against original notices. Barcode-derived labels alone cannot independently validate the barcode method itself.</w:t>
      </w:r>
    </w:p>
    <w:p>
      <w:pPr>
        <w:pStyle w:val="Heading2"/>
      </w:pPr>
      <w:r>
        <w:t>Question two Variant attributes</w:t>
      </w:r>
    </w:p>
    <w:p>
      <w:r>
        <w:t>Does package size help distinguish products from the same brand and family? Hypothesis H2: adding quantity and variant attributes improves correct first suggestions over the existing name-only baselines without increasing missed relevant candidates. Use a fresh reviewed set and compare methods on the same queries. Preserve multi-product notices and unresolved or conflicting size fields rather than enforcing a size rule indiscriminately.</w:t>
      </w:r>
    </w:p>
    <w:p>
      <w:pPr>
        <w:pStyle w:val="Heading2"/>
      </w:pPr>
      <w:r>
        <w:t>Question three AI retrieval</w:t>
      </w:r>
    </w:p>
    <w:p>
      <w:r>
        <w:t>Can a suitable language model find relevant notices when real product names differ in spelling, phrasing or language? Hypothesis H3: semantic retrieval improves recall at a fixed human-review workload without materially increasing incorrect suggestions. Compare it with exact matching and both TF-IDF baselines. Model selection depends on reviewed examples, available compute and the need to preserve variant distinctions. AI improvement is not assumed.</w:t>
      </w:r>
    </w:p>
    <w:p>
      <w:pPr>
        <w:pStyle w:val="Heading2"/>
      </w:pPr>
      <w:r>
        <w:t>Question four Batch and next step</w:t>
      </w:r>
    </w:p>
    <w:p>
      <w:r>
        <w:t>Can a structured explanation help readers identify the affected batch and official action? Hypothesis H4: readers using a source-linked explanation answer these questions more accurately, or in less time at equivalent accuracy, than readers using the original notice alone. A small consented study should use the same tasks in counterbalanced order. Without participants, evaluate condition fidelity and report that usability benefit remains unmeasured.</w:t>
      </w:r>
    </w:p>
    <w:p>
      <w:pPr>
        <w:pStyle w:val="Heading2"/>
      </w:pPr>
      <w:r>
        <w:t>Question five Early complaint signals</w:t>
      </w:r>
    </w:p>
    <w:p>
      <w:r>
        <w:t>Could repeated complaints about smell, irritation or texture in dated customer feedback have indicated a product before its recall was published? Hypothesis H5, exploratory: for recalled products with earlier dated reviews, the share of reviews mentioning these complaints rises before the notice more than it does for comparable products that were not recalled. Test this only if at least 20 recalled products have reviews dated before their notice; otherwise report a single case study. Twenty is a planning threshold, not a power calculation. A review pattern is a prompt for investigation, not evidence that a product is unsafe or that it caused a reaction.</w:t>
      </w:r>
    </w:p>
    <w:p>
      <w:pPr>
        <w:pStyle w:val="Heading2"/>
      </w:pPr>
      <w:r>
        <w:t>What would count as success</w:t>
      </w:r>
    </w:p>
    <w:p>
      <w:r>
        <w:t>Report correct and incorrect identity suggestions, missed linked notices, unresolved batches, evidence coverage and human task accuracy separately. Before a larger pilot, agree a minimum acceptable precision and review workload with the intended user, then fix the threshold on development data. Do not choose a favourable success target after viewing test results. Failure to improve a baseline or establish reliable labels is a valid finding and a reason to retain the simpler method.</w:t>
      </w:r>
    </w:p>
    <w:p>
      <w:r>
        <w:br w:type="page"/>
      </w:r>
    </w:p>
    <w:p>
      <w:pPr>
        <w:pStyle w:val="Heading1"/>
      </w:pPr>
      <w:r>
        <w:t>Variables measurement units and data requirements</w:t>
      </w:r>
    </w:p>
    <w:p>
      <w:r>
        <w:t>One French row is a notice. One catalogue row is a product identity. One matching example is a product query paired with a candidate notice. One batch case adds a lot and, where relevant, dates. These units must remain separate in tables, denominators and model evaluation.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672"/>
        <w:gridCol w:w="3989"/>
      </w:tblGrid>
      <w:tr>
        <w:trPr>
          <w:cantSplit/>
          <w:tblHeader/>
        </w:trPr>
        <w:tc>
          <w:tcPr>
            <w:tcW w:type="dxa" w:w="2088"/>
            <w:vAlign w:val="center"/>
            <w:shd w:fill="E3ECF0"/>
            <w:tcMar>
              <w:top w:w="90" w:type="dxa"/>
              <w:left w:w="90" w:type="dxa"/>
              <w:bottom w:w="90" w:type="dxa"/>
              <w:right w:w="90" w:type="dxa"/>
            </w:tcMar>
          </w:tcPr>
          <w:p>
            <w:pPr>
              <w:spacing w:after="40" w:before="40" w:line="245" w:lineRule="auto"/>
            </w:pPr>
            <w:r>
              <w:rPr>
                <w:b/>
                <w:sz w:val="20"/>
              </w:rPr>
              <w:t>Variable</w:t>
            </w:r>
          </w:p>
        </w:tc>
        <w:tc>
          <w:tcPr>
            <w:tcW w:type="dxa" w:w="3672"/>
            <w:vAlign w:val="center"/>
            <w:shd w:fill="E3ECF0"/>
            <w:tcMar>
              <w:top w:w="90" w:type="dxa"/>
              <w:left w:w="90" w:type="dxa"/>
              <w:bottom w:w="90" w:type="dxa"/>
              <w:right w:w="90" w:type="dxa"/>
            </w:tcMar>
          </w:tcPr>
          <w:p>
            <w:pPr>
              <w:spacing w:after="40" w:before="40" w:line="245" w:lineRule="auto"/>
            </w:pPr>
            <w:r>
              <w:rPr>
                <w:b/>
                <w:sz w:val="20"/>
              </w:rPr>
              <w:t>Meaning and use</w:t>
            </w:r>
          </w:p>
        </w:tc>
        <w:tc>
          <w:tcPr>
            <w:tcW w:type="dxa" w:w="3989"/>
            <w:vAlign w:val="center"/>
            <w:shd w:fill="E3ECF0"/>
            <w:tcMar>
              <w:top w:w="90" w:type="dxa"/>
              <w:left w:w="90" w:type="dxa"/>
              <w:bottom w:w="90" w:type="dxa"/>
              <w:right w:w="90" w:type="dxa"/>
            </w:tcMar>
          </w:tcPr>
          <w:p>
            <w:pPr>
              <w:spacing w:after="40" w:before="40" w:line="245" w:lineRule="auto"/>
            </w:pPr>
            <w:r>
              <w:rPr>
                <w:b/>
                <w:sz w:val="20"/>
              </w:rPr>
              <w:t>Handling rule</w:t>
            </w:r>
          </w:p>
        </w:tc>
      </w:tr>
      <w:tr>
        <w:trPr>
          <w:cantSplit/>
        </w:trPr>
        <w:tc>
          <w:tcPr>
            <w:tcW w:type="dxa" w:w="2088"/>
            <w:vAlign w:val="center"/>
            <w:shd w:fill="FFFFFF"/>
            <w:tcMar>
              <w:top w:w="90" w:type="dxa"/>
              <w:left w:w="90" w:type="dxa"/>
              <w:bottom w:w="90" w:type="dxa"/>
              <w:right w:w="90" w:type="dxa"/>
            </w:tcMar>
          </w:tcPr>
          <w:p>
            <w:pPr>
              <w:spacing w:after="40" w:before="40" w:line="245" w:lineRule="auto"/>
            </w:pPr>
            <w:r>
              <w:rPr>
                <w:b w:val="0"/>
                <w:sz w:val="20"/>
              </w:rPr>
              <w:t>Notice ID and reference</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Trace results to a published notice</w:t>
            </w:r>
          </w:p>
        </w:tc>
        <w:tc>
          <w:tcPr>
            <w:tcW w:type="dxa" w:w="3989"/>
            <w:vAlign w:val="center"/>
            <w:shd w:fill="FFFFFF"/>
            <w:tcMar>
              <w:top w:w="90" w:type="dxa"/>
              <w:left w:w="90" w:type="dxa"/>
              <w:bottom w:w="90" w:type="dxa"/>
              <w:right w:w="90" w:type="dxa"/>
            </w:tcMar>
          </w:tcPr>
          <w:p>
            <w:pPr>
              <w:spacing w:after="40" w:before="40" w:line="245" w:lineRule="auto"/>
            </w:pPr>
            <w:r>
              <w:rPr>
                <w:b w:val="0"/>
                <w:sz w:val="20"/>
              </w:rPr>
              <w:t>Require presence and uniqueness; review revisions</w:t>
            </w:r>
          </w:p>
        </w:tc>
      </w:tr>
      <w:tr>
        <w:trPr>
          <w:cantSplit/>
        </w:trPr>
        <w:tc>
          <w:tcPr>
            <w:tcW w:type="dxa" w:w="2088"/>
            <w:vAlign w:val="center"/>
            <w:shd w:fill="F5F7F8"/>
            <w:tcMar>
              <w:top w:w="90" w:type="dxa"/>
              <w:left w:w="90" w:type="dxa"/>
              <w:bottom w:w="90" w:type="dxa"/>
              <w:right w:w="90" w:type="dxa"/>
            </w:tcMar>
          </w:tcPr>
          <w:p>
            <w:pPr>
              <w:spacing w:after="40" w:before="40" w:line="245" w:lineRule="auto"/>
            </w:pPr>
            <w:r>
              <w:rPr>
                <w:b w:val="0"/>
                <w:sz w:val="20"/>
              </w:rPr>
              <w:t>Brand and product name</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Generate and compare candidates</w:t>
            </w:r>
          </w:p>
        </w:tc>
        <w:tc>
          <w:tcPr>
            <w:tcW w:type="dxa" w:w="3989"/>
            <w:vAlign w:val="center"/>
            <w:shd w:fill="F5F7F8"/>
            <w:tcMar>
              <w:top w:w="90" w:type="dxa"/>
              <w:left w:w="90" w:type="dxa"/>
              <w:bottom w:w="90" w:type="dxa"/>
              <w:right w:w="90" w:type="dxa"/>
            </w:tcMar>
          </w:tcPr>
          <w:p>
            <w:pPr>
              <w:spacing w:after="40" w:before="40" w:line="245" w:lineRule="auto"/>
            </w:pPr>
            <w:r>
              <w:rPr>
                <w:b w:val="0"/>
                <w:sz w:val="20"/>
              </w:rPr>
              <w:t>Retain raw French text and a separate normalised form</w:t>
            </w:r>
          </w:p>
        </w:tc>
      </w:tr>
      <w:tr>
        <w:trPr>
          <w:cantSplit/>
        </w:trPr>
        <w:tc>
          <w:tcPr>
            <w:tcW w:type="dxa" w:w="2088"/>
            <w:vAlign w:val="center"/>
            <w:shd w:fill="FFFFFF"/>
            <w:tcMar>
              <w:top w:w="90" w:type="dxa"/>
              <w:left w:w="90" w:type="dxa"/>
              <w:bottom w:w="90" w:type="dxa"/>
              <w:right w:w="90" w:type="dxa"/>
            </w:tcMar>
          </w:tcPr>
          <w:p>
            <w:pPr>
              <w:spacing w:after="40" w:before="40" w:line="245" w:lineRule="auto"/>
            </w:pPr>
            <w:r>
              <w:rPr>
                <w:b w:val="0"/>
                <w:sz w:val="20"/>
              </w:rPr>
              <w:t>GTIN</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Compare product identities</w:t>
            </w:r>
          </w:p>
        </w:tc>
        <w:tc>
          <w:tcPr>
            <w:tcW w:type="dxa" w:w="3989"/>
            <w:vAlign w:val="center"/>
            <w:shd w:fill="FFFFFF"/>
            <w:tcMar>
              <w:top w:w="90" w:type="dxa"/>
              <w:left w:w="90" w:type="dxa"/>
              <w:bottom w:w="90" w:type="dxa"/>
              <w:right w:w="90" w:type="dxa"/>
            </w:tcMar>
          </w:tcPr>
          <w:p>
            <w:pPr>
              <w:spacing w:after="40" w:before="40" w:line="245" w:lineRule="auto"/>
            </w:pPr>
            <w:r>
              <w:rPr>
                <w:b w:val="0"/>
                <w:sz w:val="20"/>
              </w:rPr>
              <w:t>Keep text and zeros; validate length and check digit</w:t>
            </w:r>
          </w:p>
        </w:tc>
      </w:tr>
      <w:tr>
        <w:trPr>
          <w:cantSplit/>
        </w:trPr>
        <w:tc>
          <w:tcPr>
            <w:tcW w:type="dxa" w:w="2088"/>
            <w:vAlign w:val="center"/>
            <w:shd w:fill="F5F7F8"/>
            <w:tcMar>
              <w:top w:w="90" w:type="dxa"/>
              <w:left w:w="90" w:type="dxa"/>
              <w:bottom w:w="90" w:type="dxa"/>
              <w:right w:w="90" w:type="dxa"/>
            </w:tcMar>
          </w:tcPr>
          <w:p>
            <w:pPr>
              <w:spacing w:after="40" w:before="40" w:line="245" w:lineRule="auto"/>
            </w:pPr>
            <w:r>
              <w:rPr>
                <w:b w:val="0"/>
                <w:sz w:val="20"/>
              </w:rPr>
              <w:t>Quantity and variant</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Distinguish size or formulation versions</w:t>
            </w:r>
          </w:p>
        </w:tc>
        <w:tc>
          <w:tcPr>
            <w:tcW w:type="dxa" w:w="3989"/>
            <w:vAlign w:val="center"/>
            <w:shd w:fill="F5F7F8"/>
            <w:tcMar>
              <w:top w:w="90" w:type="dxa"/>
              <w:left w:w="90" w:type="dxa"/>
              <w:bottom w:w="90" w:type="dxa"/>
              <w:right w:w="90" w:type="dxa"/>
            </w:tcMar>
          </w:tcPr>
          <w:p>
            <w:pPr>
              <w:spacing w:after="40" w:before="40" w:line="245" w:lineRule="auto"/>
            </w:pPr>
            <w:r>
              <w:rPr>
                <w:b w:val="0"/>
                <w:sz w:val="20"/>
              </w:rPr>
              <w:t>Extract with provenance; conflicting values stay flagged</w:t>
            </w:r>
          </w:p>
        </w:tc>
      </w:tr>
      <w:tr>
        <w:trPr>
          <w:cantSplit/>
        </w:trPr>
        <w:tc>
          <w:tcPr>
            <w:tcW w:type="dxa" w:w="2088"/>
            <w:vAlign w:val="center"/>
            <w:shd w:fill="FFFFFF"/>
            <w:tcMar>
              <w:top w:w="90" w:type="dxa"/>
              <w:left w:w="90" w:type="dxa"/>
              <w:bottom w:w="90" w:type="dxa"/>
              <w:right w:w="90" w:type="dxa"/>
            </w:tcMar>
          </w:tcPr>
          <w:p>
            <w:pPr>
              <w:spacing w:after="40" w:before="40" w:line="245" w:lineRule="auto"/>
            </w:pPr>
            <w:r>
              <w:rPr>
                <w:b w:val="0"/>
                <w:sz w:val="20"/>
              </w:rPr>
              <w:t>Batch or lot text</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Identify the stated affected production lot</w:t>
            </w:r>
          </w:p>
        </w:tc>
        <w:tc>
          <w:tcPr>
            <w:tcW w:type="dxa" w:w="3989"/>
            <w:vAlign w:val="center"/>
            <w:shd w:fill="FFFFFF"/>
            <w:tcMar>
              <w:top w:w="90" w:type="dxa"/>
              <w:left w:w="90" w:type="dxa"/>
              <w:bottom w:w="90" w:type="dxa"/>
              <w:right w:w="90" w:type="dxa"/>
            </w:tcMar>
          </w:tcPr>
          <w:p>
            <w:pPr>
              <w:spacing w:after="40" w:before="40" w:line="245" w:lineRule="auto"/>
            </w:pPr>
            <w:r>
              <w:rPr>
                <w:b w:val="0"/>
                <w:sz w:val="20"/>
              </w:rPr>
              <w:t>Preserve original conditions; unknown stays unknown</w:t>
            </w:r>
          </w:p>
        </w:tc>
      </w:tr>
      <w:tr>
        <w:trPr>
          <w:cantSplit/>
        </w:trPr>
        <w:tc>
          <w:tcPr>
            <w:tcW w:type="dxa" w:w="2088"/>
            <w:vAlign w:val="center"/>
            <w:shd w:fill="F5F7F8"/>
            <w:tcMar>
              <w:top w:w="90" w:type="dxa"/>
              <w:left w:w="90" w:type="dxa"/>
              <w:bottom w:w="90" w:type="dxa"/>
              <w:right w:w="90" w:type="dxa"/>
            </w:tcMar>
          </w:tcPr>
          <w:p>
            <w:pPr>
              <w:spacing w:after="40" w:before="40" w:line="245" w:lineRule="auto"/>
            </w:pPr>
            <w:r>
              <w:rPr>
                <w:b w:val="0"/>
                <w:sz w:val="20"/>
              </w:rPr>
              <w:t>Sale and expiry dates</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Check time-related conditions where stated</w:t>
            </w:r>
          </w:p>
        </w:tc>
        <w:tc>
          <w:tcPr>
            <w:tcW w:type="dxa" w:w="3989"/>
            <w:vAlign w:val="center"/>
            <w:shd w:fill="F5F7F8"/>
            <w:tcMar>
              <w:top w:w="90" w:type="dxa"/>
              <w:left w:w="90" w:type="dxa"/>
              <w:bottom w:w="90" w:type="dxa"/>
              <w:right w:w="90" w:type="dxa"/>
            </w:tcMar>
          </w:tcPr>
          <w:p>
            <w:pPr>
              <w:spacing w:after="40" w:before="40" w:line="245" w:lineRule="auto"/>
            </w:pPr>
            <w:r>
              <w:rPr>
                <w:b w:val="0"/>
                <w:sz w:val="20"/>
              </w:rPr>
              <w:t>Do not infer absent dates or use publication as exposure date</w:t>
            </w:r>
          </w:p>
        </w:tc>
      </w:tr>
      <w:tr>
        <w:trPr>
          <w:cantSplit/>
        </w:trPr>
        <w:tc>
          <w:tcPr>
            <w:tcW w:type="dxa" w:w="2088"/>
            <w:vAlign w:val="center"/>
            <w:shd w:fill="FFFFFF"/>
            <w:tcMar>
              <w:top w:w="90" w:type="dxa"/>
              <w:left w:w="90" w:type="dxa"/>
              <w:bottom w:w="90" w:type="dxa"/>
              <w:right w:w="90" w:type="dxa"/>
            </w:tcMar>
          </w:tcPr>
          <w:p>
            <w:pPr>
              <w:spacing w:after="40" w:before="40" w:line="245" w:lineRule="auto"/>
            </w:pPr>
            <w:r>
              <w:rPr>
                <w:b w:val="0"/>
                <w:sz w:val="20"/>
              </w:rPr>
              <w:t>Hazards and recall reason</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Explain the recorded concern</w:t>
            </w:r>
          </w:p>
        </w:tc>
        <w:tc>
          <w:tcPr>
            <w:tcW w:type="dxa" w:w="3989"/>
            <w:vAlign w:val="center"/>
            <w:shd w:fill="FFFFFF"/>
            <w:tcMar>
              <w:top w:w="90" w:type="dxa"/>
              <w:left w:w="90" w:type="dxa"/>
              <w:bottom w:w="90" w:type="dxa"/>
              <w:right w:w="90" w:type="dxa"/>
            </w:tcMar>
          </w:tcPr>
          <w:p>
            <w:pPr>
              <w:spacing w:after="40" w:before="40" w:line="245" w:lineRule="auto"/>
            </w:pPr>
            <w:r>
              <w:rPr>
                <w:b w:val="0"/>
                <w:sz w:val="20"/>
              </w:rPr>
              <w:t>Allow multiple labels; no injury-rate interpretation</w:t>
            </w:r>
          </w:p>
        </w:tc>
      </w:tr>
      <w:tr>
        <w:trPr>
          <w:cantSplit/>
        </w:trPr>
        <w:tc>
          <w:tcPr>
            <w:tcW w:type="dxa" w:w="2088"/>
            <w:vAlign w:val="center"/>
            <w:shd w:fill="F5F7F8"/>
            <w:tcMar>
              <w:top w:w="90" w:type="dxa"/>
              <w:left w:w="90" w:type="dxa"/>
              <w:bottom w:w="90" w:type="dxa"/>
              <w:right w:w="90" w:type="dxa"/>
            </w:tcMar>
          </w:tcPr>
          <w:p>
            <w:pPr>
              <w:spacing w:after="40" w:before="40" w:line="245" w:lineRule="auto"/>
            </w:pPr>
            <w:r>
              <w:rPr>
                <w:b w:val="0"/>
                <w:sz w:val="20"/>
              </w:rPr>
              <w:t>Market and distributor</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Show jurisdiction and stated distribution</w:t>
            </w:r>
          </w:p>
        </w:tc>
        <w:tc>
          <w:tcPr>
            <w:tcW w:type="dxa" w:w="3989"/>
            <w:vAlign w:val="center"/>
            <w:shd w:fill="F5F7F8"/>
            <w:tcMar>
              <w:top w:w="90" w:type="dxa"/>
              <w:left w:w="90" w:type="dxa"/>
              <w:bottom w:w="90" w:type="dxa"/>
              <w:right w:w="90" w:type="dxa"/>
            </w:tcMar>
          </w:tcPr>
          <w:p>
            <w:pPr>
              <w:spacing w:after="40" w:before="40" w:line="245" w:lineRule="auto"/>
            </w:pPr>
            <w:r>
              <w:rPr>
                <w:b w:val="0"/>
                <w:sz w:val="20"/>
              </w:rPr>
              <w:t>French evidence is not automatically applicable elsewhere</w:t>
            </w:r>
          </w:p>
        </w:tc>
      </w:tr>
      <w:tr>
        <w:trPr>
          <w:cantSplit/>
        </w:trPr>
        <w:tc>
          <w:tcPr>
            <w:tcW w:type="dxa" w:w="2088"/>
            <w:vAlign w:val="center"/>
            <w:shd w:fill="FFFFFF"/>
            <w:tcMar>
              <w:top w:w="90" w:type="dxa"/>
              <w:left w:w="90" w:type="dxa"/>
              <w:bottom w:w="90" w:type="dxa"/>
              <w:right w:w="90" w:type="dxa"/>
            </w:tcMar>
          </w:tcPr>
          <w:p>
            <w:pPr>
              <w:spacing w:after="40" w:before="40" w:line="245" w:lineRule="auto"/>
            </w:pPr>
            <w:r>
              <w:rPr>
                <w:b w:val="0"/>
                <w:sz w:val="20"/>
              </w:rPr>
              <w:t>Official instructions and URL</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Explain and verify the recommended next step</w:t>
            </w:r>
          </w:p>
        </w:tc>
        <w:tc>
          <w:tcPr>
            <w:tcW w:type="dxa" w:w="3989"/>
            <w:vAlign w:val="center"/>
            <w:shd w:fill="FFFFFF"/>
            <w:tcMar>
              <w:top w:w="90" w:type="dxa"/>
              <w:left w:w="90" w:type="dxa"/>
              <w:bottom w:w="90" w:type="dxa"/>
              <w:right w:w="90" w:type="dxa"/>
            </w:tcMar>
          </w:tcPr>
          <w:p>
            <w:pPr>
              <w:spacing w:after="40" w:before="40" w:line="245" w:lineRule="auto"/>
            </w:pPr>
            <w:r>
              <w:rPr>
                <w:b w:val="0"/>
                <w:sz w:val="20"/>
              </w:rPr>
              <w:t>Quote or paraphrase faithfully; do not add medical advice</w:t>
            </w:r>
          </w:p>
        </w:tc>
      </w:tr>
      <w:tr>
        <w:trPr>
          <w:cantSplit/>
        </w:trPr>
        <w:tc>
          <w:tcPr>
            <w:tcW w:type="dxa" w:w="2088"/>
            <w:vAlign w:val="center"/>
            <w:shd w:fill="F5F7F8"/>
            <w:tcMar>
              <w:top w:w="90" w:type="dxa"/>
              <w:left w:w="90" w:type="dxa"/>
              <w:bottom w:w="90" w:type="dxa"/>
              <w:right w:w="90" w:type="dxa"/>
            </w:tcMar>
          </w:tcPr>
          <w:p>
            <w:pPr>
              <w:spacing w:after="40" w:before="40" w:line="245" w:lineRule="auto"/>
            </w:pPr>
            <w:r>
              <w:rPr>
                <w:b w:val="0"/>
                <w:sz w:val="20"/>
              </w:rPr>
              <w:t>Identity and batch review labels</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Score models and batch interpretation</w:t>
            </w:r>
          </w:p>
        </w:tc>
        <w:tc>
          <w:tcPr>
            <w:tcW w:type="dxa" w:w="3989"/>
            <w:vAlign w:val="center"/>
            <w:shd w:fill="F5F7F8"/>
            <w:tcMar>
              <w:top w:w="90" w:type="dxa"/>
              <w:left w:w="90" w:type="dxa"/>
              <w:bottom w:w="90" w:type="dxa"/>
              <w:right w:w="90" w:type="dxa"/>
            </w:tcMar>
          </w:tcPr>
          <w:p>
            <w:pPr>
              <w:spacing w:after="40" w:before="40" w:line="245" w:lineRule="auto"/>
            </w:pPr>
            <w:r>
              <w:rPr>
                <w:b w:val="0"/>
                <w:sz w:val="20"/>
              </w:rPr>
              <w:t>Keep reviewer evidence, uncertainty and unresolved cases</w:t>
            </w:r>
          </w:p>
        </w:tc>
      </w:tr>
    </w:tbl>
    <w:p>
      <w:pPr>
        <w:spacing w:after="0"/>
      </w:pPr>
    </w:p>
    <w:p>
      <w:pPr>
        <w:pStyle w:val="Heading2"/>
      </w:pPr>
      <w:r>
        <w:t>Data still needed</w:t>
      </w:r>
    </w:p>
    <w:p>
      <w:r>
        <w:t>Obtain independently reviewed confusing variants and examples with complex lots, dates or missing identifiers. Catalogue overlap is selective and currently small. Any additional official source must be assessed for access, licence, units, language and overlap before merging. Product photographs and manufacturer pages can support selected identity reviews where publicly accessible, but no unverified scrape is required for the core notebook.</w:t>
      </w:r>
    </w:p>
    <w:p>
      <w:r>
        <w:t>A usable Indian product-level dataset has not been obtained for this study. This does not establish that no Indian data exists. Local application would need verified products, formulations, batches and relevant Indian notices. Sales, customer exposure, confirmed injury outcomes and recall response records are also absent, so incidence, revenue uplift and injuries prevented cannot be estimated.</w:t>
      </w:r>
    </w:p>
    <w:p>
      <w:r>
        <w:t>For the exploratory review question, candidate sources were checked on 2 October 2026. Amazon Reviews 2023 holds 23.9 million dated ratings for beauty and personal care items up to September 2023. It has not been downloaded or measured, and its project page states no licence. [12] The openFDA cosmetic adverse event data holds 85,511 dated reports sent to the United States regulator. These are reports, not reviews, and a report does not establish causation. [13] A Sephora review dataset on Kaggle, used in earlier work, covers a United States retailer. In a first brand-name probe, run outside the notebook and not reviewed, none of the 173 brand names in the French notices matched the Sephora product list, and 12 appeared in openFDA product names, some of them ordinary words. No open, dated French-language review source for the recalled products was found. With the data in hand, the French notices cannot support a review-signal test, so Week 2 measures product-level overlap with Amazon Reviews 2023 before any modelling.</w:t>
      </w:r>
    </w:p>
    <w:p>
      <w:r>
        <w:br w:type="page"/>
      </w:r>
    </w:p>
    <w:p>
      <w:pPr>
        <w:pStyle w:val="Heading1"/>
      </w:pPr>
      <w:r>
        <w:t>Anticipated analysis approach</w:t>
      </w:r>
    </w:p>
    <w:p>
      <w:pPr>
        <w:pStyle w:val="Heading2"/>
      </w:pPr>
      <w:r>
        <w:t>Step one Fix the decision and scope</w:t>
      </w:r>
    </w:p>
    <w:p>
      <w:r>
        <w:t>Use product identity and variant retrieval as the first analytical task. Keep batch applicability as a separate decision. Define France as the initial market and a saved snapshot as the first operating mode. List unresolved outcomes explicitly rather than forcing every query into a match or no-match conclusion.</w:t>
      </w:r>
    </w:p>
    <w:p>
      <w:pPr>
        <w:pStyle w:val="Heading2"/>
      </w:pPr>
      <w:r>
        <w:t>Step two Audit sources and preserve evidence</w:t>
      </w:r>
    </w:p>
    <w:p>
      <w:r>
        <w:t>Record URLs, retrieval dates, hashes and licence terms. Verify complete downloads, schema, duplicate keys, versions and date coverage. Retain original files and document every exclusion. Keep UK aggregates separate. Use pandas for tabular checks and Python standard-library tools for hashes, compression and source metadata.</w:t>
      </w:r>
    </w:p>
    <w:p>
      <w:pPr>
        <w:pStyle w:val="Heading2"/>
      </w:pPr>
      <w:r>
        <w:t>Step three Clean for each specific question</w:t>
      </w:r>
    </w:p>
    <w:p>
      <w:r>
        <w:t>Normalise headers and comparison text while preserving source values. Parse GTINs as strings and check validity. Treat whitespace-only fields as missing, without replacing absent batches, instructions or dates. Record unusable identifiers by reason. Do not delete difficult notices merely because they cannot enter a barcode join.</w:t>
      </w:r>
    </w:p>
    <w:p>
      <w:pPr>
        <w:pStyle w:val="Heading2"/>
      </w:pPr>
      <w:r>
        <w:t>Step four Build reviewed examples</w:t>
      </w:r>
    </w:p>
    <w:p>
      <w:r>
        <w:t>Review exact barcode overlaps and confusing candidates using official notice details and independent catalogue attributes. Label identity match, different variant and unresolved identity. For batch cases, record listed, not listed in that specific notice or unknown. Include ranges, multiple lots and date conditions only after source review. Artificial typos can help development but cannot replace real test examples.</w:t>
      </w:r>
    </w:p>
    <w:p>
      <w:pPr>
        <w:pStyle w:val="Heading2"/>
      </w:pPr>
      <w:r>
        <w:t>Step five Explore and engineer useful features</w:t>
      </w:r>
    </w:p>
    <w:p>
      <w:r>
        <w:t>Measure coverage by year, brand and identifier availability; describe enforcement bias. Inspect naming differences, package sizes, repeated GTINs, missing instructions and lot shapes. Use labelled count charts and error tables. Candidate features include brand agreement, quantity agreement, token similarity, character similarity and evidence completeness. These are identity features, not health-risk scores.</w:t>
      </w:r>
    </w:p>
    <w:p>
      <w:pPr>
        <w:pStyle w:val="Heading2"/>
      </w:pPr>
      <w:r>
        <w:t>Step six Compare simple methods before AI</w:t>
      </w:r>
    </w:p>
    <w:p>
      <w:r>
        <w:t>Retain exact identity retrieval and the two fixed TF-IDF baselines. Test quantity-aware retrieval on new reviewed examples. If a meaningful weakness remains and labels are sufficient, compare a pretrained multilingual encoder or pair-matching model. Use scikit-learn for baselines and SciPy for appropriate comparisons. Do not fine-tune a large model on 17 identities or promise expected performance.</w:t>
      </w:r>
    </w:p>
    <w:p>
      <w:pPr>
        <w:pStyle w:val="Heading2"/>
      </w:pPr>
      <w:r>
        <w:t>Step seven Explain evaluate and document</w:t>
      </w:r>
    </w:p>
    <w:p>
      <w:r>
        <w:t>Return candidate notices with matched attributes, conflicting conditions, original text and source links. Apply batch rules only where reviewed. Evaluate matching and reader tasks separately. Publish a reproducible notebook and a plain-language error analysis, then determine whether the evidence supports a limited pilot or a smaller data-quality contribution.</w:t>
      </w:r>
    </w:p>
    <w:p>
      <w:r>
        <w:br w:type="page"/>
      </w:r>
    </w:p>
    <w:p>
      <w:pPr>
        <w:pStyle w:val="Heading1"/>
      </w:pPr>
      <w:r>
        <w:t>Validation bias and responsible interpretation</w:t>
      </w:r>
    </w:p>
    <w:p>
      <w:pPr>
        <w:pStyle w:val="Heading2"/>
      </w:pPr>
      <w:r>
        <w:t>A validation plan that reflects the decision</w:t>
      </w:r>
    </w:p>
    <w:p>
      <w:r>
        <w:t>Freeze reviewed labels and development settings before final evaluation. Group related product families so near-identical variants do not appear on both sides of a train-test split. Keep recall titles as searchable documents, but never build catalogue queries from those same titles. Review disputed labels separately and disclose disagreement. The current GTIN split is a feasibility check, not a final family-grouped evaluation.</w:t>
      </w:r>
    </w:p>
    <w:p>
      <w:r>
        <w:t>Measure retrieval precision, recall within the reviewed labelled set, top-one and top-three success, and abstention coverage. For batch interpretation, report mistaken inclusion, mistaken exclusion and unknown cases separately. A similarity threshold must be set using development examples and a review-capacity decision. For comparisons, use paired outcomes; an exact McNemar test may suit enough discordant binary outcomes, and a bootstrap grouped by product family can express uncertainty. Small samples should remain descriptive rather than supporting a superiority claim.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672"/>
        <w:gridCol w:w="3629"/>
      </w:tblGrid>
      <w:tr>
        <w:trPr>
          <w:cantSplit/>
          <w:tblHeader/>
        </w:trPr>
        <w:tc>
          <w:tcPr>
            <w:tcW w:type="dxa" w:w="2448"/>
            <w:vAlign w:val="center"/>
            <w:shd w:fill="E3ECF0"/>
            <w:tcMar>
              <w:top w:w="90" w:type="dxa"/>
              <w:left w:w="90" w:type="dxa"/>
              <w:bottom w:w="90" w:type="dxa"/>
              <w:right w:w="90" w:type="dxa"/>
            </w:tcMar>
          </w:tcPr>
          <w:p>
            <w:pPr>
              <w:spacing w:after="40" w:before="40" w:line="245" w:lineRule="auto"/>
            </w:pPr>
            <w:r>
              <w:rPr>
                <w:b/>
                <w:sz w:val="20"/>
              </w:rPr>
              <w:t>Risk or bias</w:t>
            </w:r>
          </w:p>
        </w:tc>
        <w:tc>
          <w:tcPr>
            <w:tcW w:type="dxa" w:w="3672"/>
            <w:vAlign w:val="center"/>
            <w:shd w:fill="E3ECF0"/>
            <w:tcMar>
              <w:top w:w="90" w:type="dxa"/>
              <w:left w:w="90" w:type="dxa"/>
              <w:bottom w:w="90" w:type="dxa"/>
              <w:right w:w="90" w:type="dxa"/>
            </w:tcMar>
          </w:tcPr>
          <w:p>
            <w:pPr>
              <w:spacing w:after="40" w:before="40" w:line="245" w:lineRule="auto"/>
            </w:pPr>
            <w:r>
              <w:rPr>
                <w:b/>
                <w:sz w:val="20"/>
              </w:rPr>
              <w:t>Response</w:t>
            </w:r>
          </w:p>
        </w:tc>
        <w:tc>
          <w:tcPr>
            <w:tcW w:type="dxa" w:w="3629"/>
            <w:vAlign w:val="center"/>
            <w:shd w:fill="E3ECF0"/>
            <w:tcMar>
              <w:top w:w="90" w:type="dxa"/>
              <w:left w:w="90" w:type="dxa"/>
              <w:bottom w:w="90" w:type="dxa"/>
              <w:right w:w="90" w:type="dxa"/>
            </w:tcMar>
          </w:tcPr>
          <w:p>
            <w:pPr>
              <w:spacing w:after="40" w:before="40" w:line="245" w:lineRule="auto"/>
            </w:pPr>
            <w:r>
              <w:rPr>
                <w:b/>
                <w:sz w:val="20"/>
              </w:rPr>
              <w:t>Residual limitation</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sz w:val="20"/>
              </w:rPr>
              <w:t>Reporting and enforcement selection</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Describe notices and avoid market incidence estimates</w:t>
            </w:r>
          </w:p>
        </w:tc>
        <w:tc>
          <w:tcPr>
            <w:tcW w:type="dxa" w:w="3629"/>
            <w:vAlign w:val="center"/>
            <w:shd w:fill="FFFFFF"/>
            <w:tcMar>
              <w:top w:w="90" w:type="dxa"/>
              <w:left w:w="90" w:type="dxa"/>
              <w:bottom w:w="90" w:type="dxa"/>
              <w:right w:w="90" w:type="dxa"/>
            </w:tcMar>
          </w:tcPr>
          <w:p>
            <w:pPr>
              <w:spacing w:after="40" w:before="40" w:line="245" w:lineRule="auto"/>
            </w:pPr>
            <w:r>
              <w:rPr>
                <w:b w:val="0"/>
                <w:sz w:val="20"/>
              </w:rPr>
              <w:t>No denominator of products tested, sold or used</w:t>
            </w:r>
          </w:p>
        </w:tc>
      </w:tr>
      <w:tr>
        <w:trPr>
          <w:cantSplit/>
        </w:trPr>
        <w:tc>
          <w:tcPr>
            <w:tcW w:type="dxa" w:w="2448"/>
            <w:vAlign w:val="center"/>
            <w:shd w:fill="F5F7F8"/>
            <w:tcMar>
              <w:top w:w="90" w:type="dxa"/>
              <w:left w:w="90" w:type="dxa"/>
              <w:bottom w:w="90" w:type="dxa"/>
              <w:right w:w="90" w:type="dxa"/>
            </w:tcMar>
          </w:tcPr>
          <w:p>
            <w:pPr>
              <w:spacing w:after="40" w:before="40" w:line="245" w:lineRule="auto"/>
            </w:pPr>
            <w:r>
              <w:rPr>
                <w:b w:val="0"/>
                <w:sz w:val="20"/>
              </w:rPr>
              <w:t>Selective catalogue coverage</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Report overlap and missingness by subgroup</w:t>
            </w:r>
          </w:p>
        </w:tc>
        <w:tc>
          <w:tcPr>
            <w:tcW w:type="dxa" w:w="3629"/>
            <w:vAlign w:val="center"/>
            <w:shd w:fill="F5F7F8"/>
            <w:tcMar>
              <w:top w:w="90" w:type="dxa"/>
              <w:left w:w="90" w:type="dxa"/>
              <w:bottom w:w="90" w:type="dxa"/>
              <w:right w:w="90" w:type="dxa"/>
            </w:tcMar>
          </w:tcPr>
          <w:p>
            <w:pPr>
              <w:spacing w:after="40" w:before="40" w:line="245" w:lineRule="auto"/>
            </w:pPr>
            <w:r>
              <w:rPr>
                <w:b w:val="0"/>
                <w:sz w:val="20"/>
              </w:rPr>
              <w:t>Named overlaps may favour familiar brands</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sz w:val="20"/>
              </w:rPr>
              <w:t>Wrong or reused identifiers</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Review barcode-linked attributes and conflicts</w:t>
            </w:r>
          </w:p>
        </w:tc>
        <w:tc>
          <w:tcPr>
            <w:tcW w:type="dxa" w:w="3629"/>
            <w:vAlign w:val="center"/>
            <w:shd w:fill="FFFFFF"/>
            <w:tcMar>
              <w:top w:w="90" w:type="dxa"/>
              <w:left w:w="90" w:type="dxa"/>
              <w:bottom w:w="90" w:type="dxa"/>
              <w:right w:w="90" w:type="dxa"/>
            </w:tcMar>
          </w:tcPr>
          <w:p>
            <w:pPr>
              <w:spacing w:after="40" w:before="40" w:line="245" w:lineRule="auto"/>
            </w:pPr>
            <w:r>
              <w:rPr>
                <w:b w:val="0"/>
                <w:sz w:val="20"/>
              </w:rPr>
              <w:t>Check digits do not establish authenticity</w:t>
            </w:r>
          </w:p>
        </w:tc>
      </w:tr>
      <w:tr>
        <w:trPr>
          <w:cantSplit/>
        </w:trPr>
        <w:tc>
          <w:tcPr>
            <w:tcW w:type="dxa" w:w="2448"/>
            <w:vAlign w:val="center"/>
            <w:shd w:fill="F5F7F8"/>
            <w:tcMar>
              <w:top w:w="90" w:type="dxa"/>
              <w:left w:w="90" w:type="dxa"/>
              <w:bottom w:w="90" w:type="dxa"/>
              <w:right w:w="90" w:type="dxa"/>
            </w:tcMar>
          </w:tcPr>
          <w:p>
            <w:pPr>
              <w:spacing w:after="40" w:before="40" w:line="245" w:lineRule="auto"/>
            </w:pPr>
            <w:r>
              <w:rPr>
                <w:b w:val="0"/>
                <w:sz w:val="20"/>
              </w:rPr>
              <w:t>Near-identical product families</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Group families and inspect confusing variants</w:t>
            </w:r>
          </w:p>
        </w:tc>
        <w:tc>
          <w:tcPr>
            <w:tcW w:type="dxa" w:w="3629"/>
            <w:vAlign w:val="center"/>
            <w:shd w:fill="F5F7F8"/>
            <w:tcMar>
              <w:top w:w="90" w:type="dxa"/>
              <w:left w:w="90" w:type="dxa"/>
              <w:bottom w:w="90" w:type="dxa"/>
              <w:right w:w="90" w:type="dxa"/>
            </w:tcMar>
          </w:tcPr>
          <w:p>
            <w:pPr>
              <w:spacing w:after="40" w:before="40" w:line="245" w:lineRule="auto"/>
            </w:pPr>
            <w:r>
              <w:rPr>
                <w:b w:val="0"/>
                <w:sz w:val="20"/>
              </w:rPr>
              <w:t>Few independent families may remain</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sz w:val="20"/>
              </w:rPr>
              <w:t>Complex lots and dates</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Retain conditions and return unresolved cases</w:t>
            </w:r>
          </w:p>
        </w:tc>
        <w:tc>
          <w:tcPr>
            <w:tcW w:type="dxa" w:w="3629"/>
            <w:vAlign w:val="center"/>
            <w:shd w:fill="FFFFFF"/>
            <w:tcMar>
              <w:top w:w="90" w:type="dxa"/>
              <w:left w:w="90" w:type="dxa"/>
              <w:bottom w:w="90" w:type="dxa"/>
              <w:right w:w="90" w:type="dxa"/>
            </w:tcMar>
          </w:tcPr>
          <w:p>
            <w:pPr>
              <w:spacing w:after="40" w:before="40" w:line="245" w:lineRule="auto"/>
            </w:pPr>
            <w:r>
              <w:rPr>
                <w:b w:val="0"/>
                <w:sz w:val="20"/>
              </w:rPr>
              <w:t>A general batch parser is not validated</w:t>
            </w:r>
          </w:p>
        </w:tc>
      </w:tr>
      <w:tr>
        <w:trPr>
          <w:cantSplit/>
        </w:trPr>
        <w:tc>
          <w:tcPr>
            <w:tcW w:type="dxa" w:w="2448"/>
            <w:vAlign w:val="center"/>
            <w:shd w:fill="F5F7F8"/>
            <w:tcMar>
              <w:top w:w="90" w:type="dxa"/>
              <w:left w:w="90" w:type="dxa"/>
              <w:bottom w:w="90" w:type="dxa"/>
              <w:right w:w="90" w:type="dxa"/>
            </w:tcMar>
          </w:tcPr>
          <w:p>
            <w:pPr>
              <w:spacing w:after="40" w:before="40" w:line="245" w:lineRule="auto"/>
            </w:pPr>
            <w:r>
              <w:rPr>
                <w:b w:val="0"/>
                <w:sz w:val="20"/>
              </w:rPr>
              <w:t>Translation or generated text</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Compare every condition with original guidance</w:t>
            </w:r>
          </w:p>
        </w:tc>
        <w:tc>
          <w:tcPr>
            <w:tcW w:type="dxa" w:w="3629"/>
            <w:vAlign w:val="center"/>
            <w:shd w:fill="F5F7F8"/>
            <w:tcMar>
              <w:top w:w="90" w:type="dxa"/>
              <w:left w:w="90" w:type="dxa"/>
              <w:bottom w:w="90" w:type="dxa"/>
              <w:right w:w="90" w:type="dxa"/>
            </w:tcMar>
          </w:tcPr>
          <w:p>
            <w:pPr>
              <w:spacing w:after="40" w:before="40" w:line="245" w:lineRule="auto"/>
            </w:pPr>
            <w:r>
              <w:rPr>
                <w:b w:val="0"/>
                <w:sz w:val="20"/>
              </w:rPr>
              <w:t>Fluent wording can still change meaning</w:t>
            </w:r>
          </w:p>
        </w:tc>
      </w:tr>
      <w:tr>
        <w:trPr>
          <w:cantSplit/>
        </w:trPr>
        <w:tc>
          <w:tcPr>
            <w:tcW w:type="dxa" w:w="2448"/>
            <w:vAlign w:val="center"/>
            <w:shd w:fill="FFFFFF"/>
            <w:tcMar>
              <w:top w:w="90" w:type="dxa"/>
              <w:left w:w="90" w:type="dxa"/>
              <w:bottom w:w="90" w:type="dxa"/>
              <w:right w:w="90" w:type="dxa"/>
            </w:tcMar>
          </w:tcPr>
          <w:p>
            <w:pPr>
              <w:spacing w:after="40" w:before="40" w:line="245" w:lineRule="auto"/>
            </w:pPr>
            <w:r>
              <w:rPr>
                <w:b w:val="0"/>
                <w:sz w:val="20"/>
              </w:rPr>
              <w:t>Snapshot and notice revisions</w:t>
            </w:r>
          </w:p>
        </w:tc>
        <w:tc>
          <w:tcPr>
            <w:tcW w:type="dxa" w:w="3672"/>
            <w:vAlign w:val="center"/>
            <w:shd w:fill="FFFFFF"/>
            <w:tcMar>
              <w:top w:w="90" w:type="dxa"/>
              <w:left w:w="90" w:type="dxa"/>
              <w:bottom w:w="90" w:type="dxa"/>
              <w:right w:w="90" w:type="dxa"/>
            </w:tcMar>
          </w:tcPr>
          <w:p>
            <w:pPr>
              <w:spacing w:after="40" w:before="40" w:line="245" w:lineRule="auto"/>
            </w:pPr>
            <w:r>
              <w:rPr>
                <w:b w:val="0"/>
                <w:sz w:val="20"/>
              </w:rPr>
              <w:t>Show date and version; later test change handling</w:t>
            </w:r>
          </w:p>
        </w:tc>
        <w:tc>
          <w:tcPr>
            <w:tcW w:type="dxa" w:w="3629"/>
            <w:vAlign w:val="center"/>
            <w:shd w:fill="FFFFFF"/>
            <w:tcMar>
              <w:top w:w="90" w:type="dxa"/>
              <w:left w:w="90" w:type="dxa"/>
              <w:bottom w:w="90" w:type="dxa"/>
              <w:right w:w="90" w:type="dxa"/>
            </w:tcMar>
          </w:tcPr>
          <w:p>
            <w:pPr>
              <w:spacing w:after="40" w:before="40" w:line="245" w:lineRule="auto"/>
            </w:pPr>
            <w:r>
              <w:rPr>
                <w:b w:val="0"/>
                <w:sz w:val="20"/>
              </w:rPr>
              <w:t>No live refresh performance measured</w:t>
            </w:r>
          </w:p>
        </w:tc>
      </w:tr>
      <w:tr>
        <w:trPr>
          <w:cantSplit/>
        </w:trPr>
        <w:tc>
          <w:tcPr>
            <w:tcW w:type="dxa" w:w="2448"/>
            <w:vAlign w:val="center"/>
            <w:shd w:fill="F5F7F8"/>
            <w:tcMar>
              <w:top w:w="90" w:type="dxa"/>
              <w:left w:w="90" w:type="dxa"/>
              <w:bottom w:w="90" w:type="dxa"/>
              <w:right w:w="90" w:type="dxa"/>
            </w:tcMar>
          </w:tcPr>
          <w:p>
            <w:pPr>
              <w:spacing w:after="40" w:before="40" w:line="245" w:lineRule="auto"/>
            </w:pPr>
            <w:r>
              <w:rPr>
                <w:b w:val="0"/>
                <w:sz w:val="20"/>
              </w:rPr>
              <w:t>Self-selected reviews and complaints</w:t>
            </w:r>
          </w:p>
        </w:tc>
        <w:tc>
          <w:tcPr>
            <w:tcW w:type="dxa" w:w="3672"/>
            <w:vAlign w:val="center"/>
            <w:shd w:fill="F5F7F8"/>
            <w:tcMar>
              <w:top w:w="90" w:type="dxa"/>
              <w:left w:w="90" w:type="dxa"/>
              <w:bottom w:w="90" w:type="dxa"/>
              <w:right w:w="90" w:type="dxa"/>
            </w:tcMar>
          </w:tcPr>
          <w:p>
            <w:pPr>
              <w:spacing w:after="40" w:before="40" w:line="245" w:lineRule="auto"/>
            </w:pPr>
            <w:r>
              <w:rPr>
                <w:b w:val="0"/>
                <w:sz w:val="20"/>
              </w:rPr>
              <w:t>Treat patterns as prompts for investigation; compare with products not recalled</w:t>
            </w:r>
          </w:p>
        </w:tc>
        <w:tc>
          <w:tcPr>
            <w:tcW w:type="dxa" w:w="3629"/>
            <w:vAlign w:val="center"/>
            <w:shd w:fill="F5F7F8"/>
            <w:tcMar>
              <w:top w:w="90" w:type="dxa"/>
              <w:left w:w="90" w:type="dxa"/>
              <w:bottom w:w="90" w:type="dxa"/>
              <w:right w:w="90" w:type="dxa"/>
            </w:tcMar>
          </w:tcPr>
          <w:p>
            <w:pPr>
              <w:spacing w:after="40" w:before="40" w:line="245" w:lineRule="auto"/>
            </w:pPr>
            <w:r>
              <w:rPr>
                <w:b w:val="0"/>
                <w:sz w:val="20"/>
              </w:rPr>
              <w:t>No causal claim; reviewers differ from all users</w:t>
            </w:r>
          </w:p>
        </w:tc>
      </w:tr>
    </w:tbl>
    <w:p>
      <w:pPr>
        <w:spacing w:after="0"/>
      </w:pPr>
    </w:p>
    <w:p>
      <w:pPr>
        <w:pStyle w:val="Heading2"/>
      </w:pPr>
      <w:r>
        <w:t>The boundary on human impact claims</w:t>
      </w:r>
    </w:p>
    <w:p>
      <w:r>
        <w:t>A more accurate lookup could support recall awareness and stock review, but these datasets do not demonstrate behaviour change or prevented harm. A consented reader task can measure correct decisions and time. Longer-term safety outcomes would require operational follow-up and exposure information beyond this internship. The prototype must not certify a product safe, infer medical causation or recommend treatment.</w:t>
      </w:r>
    </w:p>
    <w:p>
      <w:r>
        <w:br w:type="page"/>
      </w:r>
    </w:p>
    <w:p>
      <w:pPr>
        <w:pStyle w:val="Heading1"/>
      </w:pPr>
      <w:r>
        <w:t>Six week deliverables and practical feasibility</w:t>
      </w:r>
    </w:p>
    <w:p>
      <w:r>
        <w:t>The six submissions form one connected Beauty and Wellness project. Each weekly Word report addresses its own task while carrying forward the same problem, sources, limitations and traceable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3024"/>
        <w:gridCol w:w="5933"/>
      </w:tblGrid>
      <w:tr>
        <w:trPr>
          <w:cantSplit/>
          <w:tblHeader/>
        </w:trPr>
        <w:tc>
          <w:tcPr>
            <w:tcW w:type="dxa" w:w="792"/>
            <w:vAlign w:val="center"/>
            <w:shd w:fill="E3ECF0"/>
            <w:tcMar>
              <w:top w:w="90" w:type="dxa"/>
              <w:left w:w="90" w:type="dxa"/>
              <w:bottom w:w="90" w:type="dxa"/>
              <w:right w:w="90" w:type="dxa"/>
            </w:tcMar>
          </w:tcPr>
          <w:p>
            <w:pPr>
              <w:spacing w:after="40" w:before="40" w:line="245" w:lineRule="auto"/>
            </w:pPr>
            <w:r>
              <w:rPr>
                <w:b/>
                <w:sz w:val="20"/>
              </w:rPr>
              <w:t>Week</w:t>
            </w:r>
          </w:p>
        </w:tc>
        <w:tc>
          <w:tcPr>
            <w:tcW w:type="dxa" w:w="3024"/>
            <w:vAlign w:val="center"/>
            <w:shd w:fill="E3ECF0"/>
            <w:tcMar>
              <w:top w:w="90" w:type="dxa"/>
              <w:left w:w="90" w:type="dxa"/>
              <w:bottom w:w="90" w:type="dxa"/>
              <w:right w:w="90" w:type="dxa"/>
            </w:tcMar>
          </w:tcPr>
          <w:p>
            <w:pPr>
              <w:spacing w:after="40" w:before="40" w:line="245" w:lineRule="auto"/>
            </w:pPr>
            <w:r>
              <w:rPr>
                <w:b/>
                <w:sz w:val="20"/>
              </w:rPr>
              <w:t>Focus</w:t>
            </w:r>
          </w:p>
        </w:tc>
        <w:tc>
          <w:tcPr>
            <w:tcW w:type="dxa" w:w="5933"/>
            <w:vAlign w:val="center"/>
            <w:shd w:fill="E3ECF0"/>
            <w:tcMar>
              <w:top w:w="90" w:type="dxa"/>
              <w:left w:w="90" w:type="dxa"/>
              <w:bottom w:w="90" w:type="dxa"/>
              <w:right w:w="90" w:type="dxa"/>
            </w:tcMar>
          </w:tcPr>
          <w:p>
            <w:pPr>
              <w:spacing w:after="40" w:before="40" w:line="245" w:lineRule="auto"/>
            </w:pPr>
            <w:r>
              <w:rPr>
                <w:b/>
                <w:sz w:val="20"/>
              </w:rPr>
              <w:t>Deliverable and decision</w:t>
            </w:r>
          </w:p>
        </w:tc>
      </w:tr>
      <w:tr>
        <w:trPr>
          <w:cantSplit/>
        </w:trPr>
        <w:tc>
          <w:tcPr>
            <w:tcW w:type="dxa" w:w="792"/>
            <w:vAlign w:val="center"/>
            <w:shd w:fill="FFFFFF"/>
            <w:tcMar>
              <w:top w:w="90" w:type="dxa"/>
              <w:left w:w="90" w:type="dxa"/>
              <w:bottom w:w="90" w:type="dxa"/>
              <w:right w:w="90" w:type="dxa"/>
            </w:tcMar>
          </w:tcPr>
          <w:p>
            <w:pPr>
              <w:spacing w:after="40" w:before="40" w:line="245" w:lineRule="auto"/>
            </w:pPr>
            <w:r>
              <w:rPr>
                <w:b w:val="0"/>
                <w:sz w:val="20"/>
              </w:rPr>
              <w:t>1</w:t>
            </w:r>
          </w:p>
        </w:tc>
        <w:tc>
          <w:tcPr>
            <w:tcW w:type="dxa" w:w="3024"/>
            <w:vAlign w:val="center"/>
            <w:shd w:fill="FFFFFF"/>
            <w:tcMar>
              <w:top w:w="90" w:type="dxa"/>
              <w:left w:w="90" w:type="dxa"/>
              <w:bottom w:w="90" w:type="dxa"/>
              <w:right w:w="90" w:type="dxa"/>
            </w:tcMar>
          </w:tcPr>
          <w:p>
            <w:pPr>
              <w:spacing w:after="40" w:before="40" w:line="245" w:lineRule="auto"/>
            </w:pPr>
            <w:r>
              <w:rPr>
                <w:b w:val="0"/>
                <w:sz w:val="20"/>
              </w:rPr>
              <w:t>Problem definition</w:t>
            </w:r>
          </w:p>
        </w:tc>
        <w:tc>
          <w:tcPr>
            <w:tcW w:type="dxa" w:w="5933"/>
            <w:vAlign w:val="center"/>
            <w:shd w:fill="FFFFFF"/>
            <w:tcMar>
              <w:top w:w="90" w:type="dxa"/>
              <w:left w:w="90" w:type="dxa"/>
              <w:bottom w:w="90" w:type="dxa"/>
              <w:right w:w="90" w:type="dxa"/>
            </w:tcMar>
          </w:tcPr>
          <w:p>
            <w:pPr>
              <w:spacing w:after="40" w:before="40" w:line="245" w:lineRule="auto"/>
            </w:pPr>
            <w:r>
              <w:rPr>
                <w:b w:val="0"/>
                <w:sz w:val="20"/>
              </w:rPr>
              <w:t>Business problem, research, hypotheses, scope and feasibility</w:t>
            </w:r>
          </w:p>
        </w:tc>
      </w:tr>
      <w:tr>
        <w:trPr>
          <w:cantSplit/>
        </w:trPr>
        <w:tc>
          <w:tcPr>
            <w:tcW w:type="dxa" w:w="792"/>
            <w:vAlign w:val="center"/>
            <w:shd w:fill="F5F7F8"/>
            <w:tcMar>
              <w:top w:w="90" w:type="dxa"/>
              <w:left w:w="90" w:type="dxa"/>
              <w:bottom w:w="90" w:type="dxa"/>
              <w:right w:w="90" w:type="dxa"/>
            </w:tcMar>
          </w:tcPr>
          <w:p>
            <w:pPr>
              <w:spacing w:after="40" w:before="40" w:line="245" w:lineRule="auto"/>
            </w:pPr>
            <w:r>
              <w:rPr>
                <w:b w:val="0"/>
                <w:sz w:val="20"/>
              </w:rPr>
              <w:t>2</w:t>
            </w:r>
          </w:p>
        </w:tc>
        <w:tc>
          <w:tcPr>
            <w:tcW w:type="dxa" w:w="3024"/>
            <w:vAlign w:val="center"/>
            <w:shd w:fill="F5F7F8"/>
            <w:tcMar>
              <w:top w:w="90" w:type="dxa"/>
              <w:left w:w="90" w:type="dxa"/>
              <w:bottom w:w="90" w:type="dxa"/>
              <w:right w:w="90" w:type="dxa"/>
            </w:tcMar>
          </w:tcPr>
          <w:p>
            <w:pPr>
              <w:spacing w:after="40" w:before="40" w:line="245" w:lineRule="auto"/>
            </w:pPr>
            <w:r>
              <w:rPr>
                <w:b w:val="0"/>
                <w:sz w:val="20"/>
              </w:rPr>
              <w:t>Data identification and sourcing</w:t>
            </w:r>
          </w:p>
        </w:tc>
        <w:tc>
          <w:tcPr>
            <w:tcW w:type="dxa" w:w="5933"/>
            <w:vAlign w:val="center"/>
            <w:shd w:fill="F5F7F8"/>
            <w:tcMar>
              <w:top w:w="90" w:type="dxa"/>
              <w:left w:w="90" w:type="dxa"/>
              <w:bottom w:w="90" w:type="dxa"/>
              <w:right w:w="90" w:type="dxa"/>
            </w:tcMar>
          </w:tcPr>
          <w:p>
            <w:pPr>
              <w:spacing w:after="40" w:before="40" w:line="245" w:lineRule="auto"/>
            </w:pPr>
            <w:r>
              <w:rPr>
                <w:b w:val="0"/>
                <w:sz w:val="20"/>
              </w:rPr>
              <w:t>Source comparison, access and licences, coverage, label plan and review-data overlap gate</w:t>
            </w:r>
          </w:p>
        </w:tc>
      </w:tr>
      <w:tr>
        <w:trPr>
          <w:cantSplit/>
        </w:trPr>
        <w:tc>
          <w:tcPr>
            <w:tcW w:type="dxa" w:w="792"/>
            <w:vAlign w:val="center"/>
            <w:shd w:fill="FFFFFF"/>
            <w:tcMar>
              <w:top w:w="90" w:type="dxa"/>
              <w:left w:w="90" w:type="dxa"/>
              <w:bottom w:w="90" w:type="dxa"/>
              <w:right w:w="90" w:type="dxa"/>
            </w:tcMar>
          </w:tcPr>
          <w:p>
            <w:pPr>
              <w:spacing w:after="40" w:before="40" w:line="245" w:lineRule="auto"/>
            </w:pPr>
            <w:r>
              <w:rPr>
                <w:b w:val="0"/>
                <w:sz w:val="20"/>
              </w:rPr>
              <w:t>3</w:t>
            </w:r>
          </w:p>
        </w:tc>
        <w:tc>
          <w:tcPr>
            <w:tcW w:type="dxa" w:w="3024"/>
            <w:vAlign w:val="center"/>
            <w:shd w:fill="FFFFFF"/>
            <w:tcMar>
              <w:top w:w="90" w:type="dxa"/>
              <w:left w:w="90" w:type="dxa"/>
              <w:bottom w:w="90" w:type="dxa"/>
              <w:right w:w="90" w:type="dxa"/>
            </w:tcMar>
          </w:tcPr>
          <w:p>
            <w:pPr>
              <w:spacing w:after="40" w:before="40" w:line="245" w:lineRule="auto"/>
            </w:pPr>
            <w:r>
              <w:rPr>
                <w:b w:val="0"/>
                <w:sz w:val="20"/>
              </w:rPr>
              <w:t>Cleaning and preprocessing</w:t>
            </w:r>
          </w:p>
        </w:tc>
        <w:tc>
          <w:tcPr>
            <w:tcW w:type="dxa" w:w="5933"/>
            <w:vAlign w:val="center"/>
            <w:shd w:fill="FFFFFF"/>
            <w:tcMar>
              <w:top w:w="90" w:type="dxa"/>
              <w:left w:w="90" w:type="dxa"/>
              <w:bottom w:w="90" w:type="dxa"/>
              <w:right w:w="90" w:type="dxa"/>
            </w:tcMar>
          </w:tcPr>
          <w:p>
            <w:pPr>
              <w:spacing w:after="40" w:before="40" w:line="245" w:lineRule="auto"/>
            </w:pPr>
            <w:r>
              <w:rPr>
                <w:b w:val="0"/>
                <w:sz w:val="20"/>
              </w:rPr>
              <w:t>Reproducible rules, missingness audit, identifier and batch preservation</w:t>
            </w:r>
          </w:p>
        </w:tc>
      </w:tr>
      <w:tr>
        <w:trPr>
          <w:cantSplit/>
        </w:trPr>
        <w:tc>
          <w:tcPr>
            <w:tcW w:type="dxa" w:w="792"/>
            <w:vAlign w:val="center"/>
            <w:shd w:fill="F5F7F8"/>
            <w:tcMar>
              <w:top w:w="90" w:type="dxa"/>
              <w:left w:w="90" w:type="dxa"/>
              <w:bottom w:w="90" w:type="dxa"/>
              <w:right w:w="90" w:type="dxa"/>
            </w:tcMar>
          </w:tcPr>
          <w:p>
            <w:pPr>
              <w:spacing w:after="40" w:before="40" w:line="245" w:lineRule="auto"/>
            </w:pPr>
            <w:r>
              <w:rPr>
                <w:b w:val="0"/>
                <w:sz w:val="20"/>
              </w:rPr>
              <w:t>4</w:t>
            </w:r>
          </w:p>
        </w:tc>
        <w:tc>
          <w:tcPr>
            <w:tcW w:type="dxa" w:w="3024"/>
            <w:vAlign w:val="center"/>
            <w:shd w:fill="F5F7F8"/>
            <w:tcMar>
              <w:top w:w="90" w:type="dxa"/>
              <w:left w:w="90" w:type="dxa"/>
              <w:bottom w:w="90" w:type="dxa"/>
              <w:right w:w="90" w:type="dxa"/>
            </w:tcMar>
          </w:tcPr>
          <w:p>
            <w:pPr>
              <w:spacing w:after="40" w:before="40" w:line="245" w:lineRule="auto"/>
            </w:pPr>
            <w:r>
              <w:rPr>
                <w:b w:val="0"/>
                <w:sz w:val="20"/>
              </w:rPr>
              <w:t>EDA and feature engineering</w:t>
            </w:r>
          </w:p>
        </w:tc>
        <w:tc>
          <w:tcPr>
            <w:tcW w:type="dxa" w:w="5933"/>
            <w:vAlign w:val="center"/>
            <w:shd w:fill="F5F7F8"/>
            <w:tcMar>
              <w:top w:w="90" w:type="dxa"/>
              <w:left w:w="90" w:type="dxa"/>
              <w:bottom w:w="90" w:type="dxa"/>
              <w:right w:w="90" w:type="dxa"/>
            </w:tcMar>
          </w:tcPr>
          <w:p>
            <w:pPr>
              <w:spacing w:after="40" w:before="40" w:line="245" w:lineRule="auto"/>
            </w:pPr>
            <w:r>
              <w:rPr>
                <w:b w:val="0"/>
                <w:sz w:val="20"/>
              </w:rPr>
              <w:t>Coverage and error patterns; brand, size and text features</w:t>
            </w:r>
          </w:p>
        </w:tc>
      </w:tr>
      <w:tr>
        <w:trPr>
          <w:cantSplit/>
        </w:trPr>
        <w:tc>
          <w:tcPr>
            <w:tcW w:type="dxa" w:w="792"/>
            <w:vAlign w:val="center"/>
            <w:shd w:fill="FFFFFF"/>
            <w:tcMar>
              <w:top w:w="90" w:type="dxa"/>
              <w:left w:w="90" w:type="dxa"/>
              <w:bottom w:w="90" w:type="dxa"/>
              <w:right w:w="90" w:type="dxa"/>
            </w:tcMar>
          </w:tcPr>
          <w:p>
            <w:pPr>
              <w:spacing w:after="40" w:before="40" w:line="245" w:lineRule="auto"/>
            </w:pPr>
            <w:r>
              <w:rPr>
                <w:b w:val="0"/>
                <w:sz w:val="20"/>
              </w:rPr>
              <w:t>5</w:t>
            </w:r>
          </w:p>
        </w:tc>
        <w:tc>
          <w:tcPr>
            <w:tcW w:type="dxa" w:w="3024"/>
            <w:vAlign w:val="center"/>
            <w:shd w:fill="FFFFFF"/>
            <w:tcMar>
              <w:top w:w="90" w:type="dxa"/>
              <w:left w:w="90" w:type="dxa"/>
              <w:bottom w:w="90" w:type="dxa"/>
              <w:right w:w="90" w:type="dxa"/>
            </w:tcMar>
          </w:tcPr>
          <w:p>
            <w:pPr>
              <w:spacing w:after="40" w:before="40" w:line="245" w:lineRule="auto"/>
            </w:pPr>
            <w:r>
              <w:rPr>
                <w:b w:val="0"/>
                <w:sz w:val="20"/>
              </w:rPr>
              <w:t>Model selection</w:t>
            </w:r>
          </w:p>
        </w:tc>
        <w:tc>
          <w:tcPr>
            <w:tcW w:type="dxa" w:w="5933"/>
            <w:vAlign w:val="center"/>
            <w:shd w:fill="FFFFFF"/>
            <w:tcMar>
              <w:top w:w="90" w:type="dxa"/>
              <w:left w:w="90" w:type="dxa"/>
              <w:bottom w:w="90" w:type="dxa"/>
              <w:right w:w="90" w:type="dxa"/>
            </w:tcMar>
          </w:tcPr>
          <w:p>
            <w:pPr>
              <w:spacing w:after="40" w:before="40" w:line="245" w:lineRule="auto"/>
            </w:pPr>
            <w:r>
              <w:rPr>
                <w:b w:val="0"/>
                <w:sz w:val="20"/>
              </w:rPr>
              <w:t>At least two justified approaches, baselines and a conditional AI comparison</w:t>
            </w:r>
          </w:p>
        </w:tc>
      </w:tr>
      <w:tr>
        <w:trPr>
          <w:cantSplit/>
        </w:trPr>
        <w:tc>
          <w:tcPr>
            <w:tcW w:type="dxa" w:w="792"/>
            <w:vAlign w:val="center"/>
            <w:shd w:fill="F5F7F8"/>
            <w:tcMar>
              <w:top w:w="90" w:type="dxa"/>
              <w:left w:w="90" w:type="dxa"/>
              <w:bottom w:w="90" w:type="dxa"/>
              <w:right w:w="90" w:type="dxa"/>
            </w:tcMar>
          </w:tcPr>
          <w:p>
            <w:pPr>
              <w:spacing w:after="40" w:before="40" w:line="245" w:lineRule="auto"/>
            </w:pPr>
            <w:r>
              <w:rPr>
                <w:b w:val="0"/>
                <w:sz w:val="20"/>
              </w:rPr>
              <w:t>6</w:t>
            </w:r>
          </w:p>
        </w:tc>
        <w:tc>
          <w:tcPr>
            <w:tcW w:type="dxa" w:w="3024"/>
            <w:vAlign w:val="center"/>
            <w:shd w:fill="F5F7F8"/>
            <w:tcMar>
              <w:top w:w="90" w:type="dxa"/>
              <w:left w:w="90" w:type="dxa"/>
              <w:bottom w:w="90" w:type="dxa"/>
              <w:right w:w="90" w:type="dxa"/>
            </w:tcMar>
          </w:tcPr>
          <w:p>
            <w:pPr>
              <w:spacing w:after="40" w:before="40" w:line="245" w:lineRule="auto"/>
            </w:pPr>
            <w:r>
              <w:rPr>
                <w:b w:val="0"/>
                <w:sz w:val="20"/>
              </w:rPr>
              <w:t>Evaluation and communication</w:t>
            </w:r>
          </w:p>
        </w:tc>
        <w:tc>
          <w:tcPr>
            <w:tcW w:type="dxa" w:w="5933"/>
            <w:vAlign w:val="center"/>
            <w:shd w:fill="F5F7F8"/>
            <w:tcMar>
              <w:top w:w="90" w:type="dxa"/>
              <w:left w:w="90" w:type="dxa"/>
              <w:bottom w:w="90" w:type="dxa"/>
              <w:right w:w="90" w:type="dxa"/>
            </w:tcMar>
          </w:tcPr>
          <w:p>
            <w:pPr>
              <w:spacing w:after="40" w:before="40" w:line="245" w:lineRule="auto"/>
            </w:pPr>
            <w:r>
              <w:rPr>
                <w:b w:val="0"/>
                <w:sz w:val="20"/>
              </w:rPr>
              <w:t>Metrics, uncertainty, error audit, prototype limits and recommendations</w:t>
            </w:r>
          </w:p>
        </w:tc>
      </w:tr>
    </w:tbl>
    <w:p>
      <w:pPr>
        <w:spacing w:after="0"/>
      </w:pPr>
    </w:p>
    <w:p>
      <w:pPr>
        <w:pStyle w:val="Heading2"/>
      </w:pPr>
      <w:r>
        <w:t>Proposed Week 1 effort allocation</w:t>
      </w:r>
    </w:p>
    <w:p>
      <w:r>
        <w:t>A 33-hour planning budget is consistent with the assignment estimate: six hours for industry and academic research, five for source verification, eight for the feasibility audit and baselines, five for error and batch review, six for problem formulation and writing, and three for reproducibility and document checks. This is a proposed allocation, not a claim that those hours have already been logged.</w:t>
      </w:r>
    </w:p>
    <w:p>
      <w:pPr>
        <w:pStyle w:val="Heading2"/>
      </w:pPr>
      <w:r>
        <w:t>Proceed with a narrow contribution</w:t>
      </w:r>
    </w:p>
    <w:p>
      <w:r>
        <w:t>The practical checkpoint was 30 named overlapping identities for a small matching benchmark. The current data has only 17, so it does not pass that checkpoint. Thirty is a planning threshold, not a power calculation. Continue with a data-quality and variant-error study while seeking more reviewed examples. If enough suitable labels cannot be obtained, the final contribution can remain a documented audit and conservative batch workflow rather than a weakly validated AI model.</w:t>
      </w:r>
    </w:p>
    <w:p>
      <w:pPr>
        <w:pStyle w:val="Heading2"/>
      </w:pPr>
      <w:r>
        <w:t>What makes the project worth doing</w:t>
      </w:r>
    </w:p>
    <w:p>
      <w:r>
        <w:t>The demonstrated wrong-size match gives the work a specific and observable problem. A useful outcome would show when extra product attributes prevent that kind of confusion and when missing evidence requires a person to inspect the notice. Even a finding that simpler rules work better than a semantic model would be valuable if supported by a transparent test. Value should be judged by reliable decisions and clear uncertainty, not by the size of the model or the number of charts.</w:t>
      </w:r>
    </w:p>
    <w:p>
      <w:pPr>
        <w:pStyle w:val="Heading2"/>
      </w:pPr>
      <w:r>
        <w:t>The immediate next step</w:t>
      </w:r>
    </w:p>
    <w:p>
      <w:r>
        <w:t>Review the 30 overlapping product identities and the highest-scoring unlinked suggestions, retaining source evidence for each label. Expand confusing variants and complex batch cases before selecting a semantic model. Prepare separate weekly reports as this work progresses and link the technical project repository after its contents have been verified. In Week 2, measure how many recalled products have reviews dated before their notice in Amazon Reviews 2023 and apply the review-signal gate.</w:t>
      </w:r>
    </w:p>
    <w:p>
      <w:r>
        <w:br w:type="page"/>
      </w:r>
    </w:p>
    <w:p>
      <w:pPr>
        <w:pStyle w:val="Heading1"/>
      </w:pPr>
      <w:r>
        <w:t>STAR summary and conclusion</w:t>
      </w:r>
    </w:p>
    <w:p>
      <w:pPr>
        <w:pStyle w:val="Heading2"/>
      </w:pPr>
      <w:r>
        <w:t>Situation</w:t>
      </w:r>
    </w:p>
    <w:p>
      <w:r>
        <w:t>Public cosmetic recalls contain identifiers, product descriptions and instructions, but closely related variants can have very similar names. Consumers and retailers need to determine whether a published warning applies to a particular bottle and batch. Existing recall services already provide search and scanning, so the contribution must be measured rather than assumed.</w:t>
      </w:r>
    </w:p>
    <w:p>
      <w:pPr>
        <w:pStyle w:val="Heading2"/>
      </w:pPr>
      <w:r>
        <w:t>Task</w:t>
      </w:r>
    </w:p>
    <w:p>
      <w:r>
        <w:t>Define an achievable Beauty and Wellness data science problem for the six-week YuvaIntern internship. Establish its business and human relevance, confirm freely available data, articulate research questions and design an approach that can be validated without overstating safety or market impact.</w:t>
      </w:r>
    </w:p>
    <w:p>
      <w:pPr>
        <w:pStyle w:val="Heading2"/>
      </w:pPr>
      <w:r>
        <w:t>Action</w:t>
      </w:r>
    </w:p>
    <w:p>
      <w:r>
        <w:t>I inspected the French recall snapshot, kept UK summary statistics separate and downloaded an independent product catalogue. The notebook preserves original fields, validates candidate barcodes, measures missingness and catalogue overlap, compares word and character retrieval, displays wrong suggestions and checks one source-reviewed batch example. Industry and academic research inform the proposed feature and model comparisons. The report maps those findings to explicit hypotheses and weekly deliverables.</w:t>
      </w:r>
    </w:p>
    <w:p>
      <w:pPr>
        <w:pStyle w:val="Heading2"/>
      </w:pPr>
      <w:r>
        <w:t>Result</w:t>
      </w:r>
    </w:p>
    <w:p>
      <w:r>
        <w:t>The feasibility audit retained 296 notices and found catalogue overlap for 30 product identities. Only 17 had usable names. On eight evaluation queries, word search returned a linked notice first in six cases and character search in five. Both preferred a 300 ml Activilong recall over the barcode-linked 250 ml notice, exposing a concrete variant-confusion problem. These results support a focused audit and reviewed benchmark. They do not establish a general safety tool, AI superiority or reduced injuries.</w:t>
      </w:r>
    </w:p>
    <w:p>
      <w:pPr>
        <w:pStyle w:val="Heading2"/>
      </w:pPr>
      <w:r>
        <w:t>Conclusion</w:t>
      </w:r>
    </w:p>
    <w:p>
      <w:r>
        <w:t>The chosen problem meets the internship domain and has a defensible decision outcome: identify plausible official cosmetic recalls while preserving variant and batch conditions. The current evidence warrants a narrow study of data gaps and matching errors. The next phase should strengthen labels and examine quantity-aware matching before adding semantic AI. Success will be reported in terms of correct identity retrieval, batch interpretation, unresolved cases and, if tested with people, comprehension and time.</w:t>
      </w:r>
    </w:p>
    <w:p>
      <w:pPr>
        <w:pStyle w:val="Heading2"/>
      </w:pPr>
      <w:r>
        <w:t>Reproducibility record</w:t>
      </w:r>
    </w:p>
    <w:p>
      <w:r>
        <w:t>The supporting notebook is cosmetic_recall_analysis.ipynb. The raw files and catalogue download metadata are under data/raw; regenerated retrieval and identifier-audit tables are under data/processed. All 22 code cells completed without error in the feasibility run. Original source text remains available alongside derived fields. This report uses the saved snapshots as inspected on 2 October 2026.</w:t>
      </w:r>
    </w:p>
    <w:p>
      <w:r>
        <w:br w:type="page"/>
      </w:r>
    </w:p>
    <w:p>
      <w:pPr>
        <w:pStyle w:val="Heading1"/>
      </w:pPr>
      <w:r>
        <w:t>References</w:t>
      </w:r>
    </w:p>
    <w:p>
      <w:r>
        <w:t>Public sources were checked on 2 October 2026. Bracketed numbers in the report refer to the entries below. Local feasibility counts and results come from the accompanying notebook and its saved inputs.</w:t>
      </w:r>
    </w:p>
    <w:p>
      <w:r>
        <w:rPr>
          <w:b/>
        </w:rPr>
        <w:t xml:space="preserve">[1] </w:t>
      </w:r>
      <w:hyperlink r:id="rId11">
        <w:r>
          <w:rPr>
            <w:color w:val="175675"/>
          </w:rPr>
          <w:t>European Commission Safety Gate 2025 report</w:t>
        </w:r>
      </w:hyperlink>
      <w:r>
        <w:t>. Official alert statistics, enforcement context and existing surveillance tools.</w:t>
      </w:r>
    </w:p>
    <w:p>
      <w:r>
        <w:rPr>
          <w:b/>
        </w:rPr>
        <w:t xml:space="preserve">[2] </w:t>
      </w:r>
      <w:hyperlink r:id="rId12">
        <w:r>
          <w:rPr>
            <w:color w:val="175675"/>
          </w:rPr>
          <w:t>OPSS Product Safety Database report 2025 to 2026</w:t>
        </w:r>
      </w:hyperlink>
      <w:r>
        <w:t>. UK notified-product counts and measurement limitations; supporting context only.</w:t>
      </w:r>
    </w:p>
    <w:p>
      <w:r>
        <w:rPr>
          <w:b/>
        </w:rPr>
        <w:t xml:space="preserve">[3] </w:t>
      </w:r>
      <w:hyperlink r:id="rId13">
        <w:r>
          <w:rPr>
            <w:color w:val="175675"/>
          </w:rPr>
          <w:t>DGCCRF RappelConso V2 dataset</w:t>
        </w:r>
      </w:hyperlink>
      <w:r>
        <w:t>. Official French recall data, published under the Open Licence.</w:t>
      </w:r>
    </w:p>
    <w:p>
      <w:r>
        <w:rPr>
          <w:b/>
        </w:rPr>
        <w:t xml:space="preserve">[4] </w:t>
      </w:r>
      <w:hyperlink r:id="rId14">
        <w:r>
          <w:rPr>
            <w:color w:val="175675"/>
          </w:rPr>
          <w:t>Alerte Conso product scanning and lot tracking description</w:t>
        </w:r>
      </w:hyperlink>
      <w:r>
        <w:t>. Developer description of existing capabilities, updated 25 July 2026; not a performance evaluation.</w:t>
      </w:r>
    </w:p>
    <w:p>
      <w:r>
        <w:rPr>
          <w:b/>
        </w:rPr>
        <w:t xml:space="preserve">[5] </w:t>
      </w:r>
      <w:hyperlink r:id="rId15">
        <w:r>
          <w:rPr>
            <w:color w:val="175675"/>
          </w:rPr>
          <w:t>OECD Enhancing product recall effectiveness globally</w:t>
        </w:r>
      </w:hyperlink>
      <w:r>
        <w:t>. 2018 background report, Science Technology and Industry Policy Papers 58, DOI 10.1787/ef71935c-en.</w:t>
      </w:r>
    </w:p>
    <w:p>
      <w:r>
        <w:rPr>
          <w:b/>
        </w:rPr>
        <w:t xml:space="preserve">[6] </w:t>
      </w:r>
      <w:hyperlink r:id="rId16">
        <w:r>
          <w:rPr>
            <w:color w:val="175675"/>
          </w:rPr>
          <w:t>Li and colleagues Deep Entity Matching with Pre Trained Language Models</w:t>
        </w:r>
      </w:hyperlink>
      <w:r>
        <w:t>. Yuliang Li, Jinfeng Li, Yoshihiko Suhara, AnHai Doan and Wang-Chiew Tan, 2020. Model rationale; no performance transfer assumed.</w:t>
      </w:r>
    </w:p>
    <w:p>
      <w:r>
        <w:rPr>
          <w:b/>
        </w:rPr>
        <w:t xml:space="preserve">[7] </w:t>
      </w:r>
      <w:hyperlink r:id="rId17">
        <w:r>
          <w:rPr>
            <w:color w:val="175675"/>
          </w:rPr>
          <w:t>Yin and colleagues Serialization Strategies for Structured Entity Matching</w:t>
        </w:r>
      </w:hyperlink>
      <w:r>
        <w:t>. Haoteng Yin, Jinha Kim, Prashant Mathur, Krishanu Sarker and Vidit Bansal, NAACL Findings 2025. DOI 10.18653/v1/2025.findings-naacl.437.</w:t>
      </w:r>
    </w:p>
    <w:p>
      <w:r>
        <w:rPr>
          <w:b/>
        </w:rPr>
        <w:t xml:space="preserve">[8] </w:t>
      </w:r>
      <w:hyperlink r:id="rId18">
        <w:r>
          <w:rPr>
            <w:color w:val="175675"/>
          </w:rPr>
          <w:t>Open Beauty Facts dataset and licence</w:t>
        </w:r>
      </w:hyperlink>
      <w:r>
        <w:t>. Citizen-contributed cosmetic product catalogue under ODbL; combined-data publication requires licence review.</w:t>
      </w:r>
    </w:p>
    <w:p>
      <w:r>
        <w:rPr>
          <w:b/>
        </w:rPr>
        <w:t xml:space="preserve">[9] </w:t>
      </w:r>
      <w:hyperlink r:id="rId19">
        <w:r>
          <w:rPr>
            <w:color w:val="175675"/>
          </w:rPr>
          <w:t>Open Beauty Facts publisher download guidance</w:t>
        </w:r>
      </w:hyperlink>
      <w:r>
        <w:t>. Bulk access guidance. The exact compressed export URL, retrieval time and hashes are recorded in local download metadata.</w:t>
      </w:r>
    </w:p>
    <w:p>
      <w:r>
        <w:rPr>
          <w:b/>
        </w:rPr>
        <w:t xml:space="preserve">[10] </w:t>
      </w:r>
      <w:hyperlink r:id="rId20">
        <w:r>
          <w:rPr>
            <w:color w:val="175675"/>
          </w:rPr>
          <w:t>RappelConso Activilong 250 ml shampoo notice</w:t>
        </w:r>
      </w:hyperlink>
      <w:r>
        <w:t>. Notice 2026-08-0072, published 14 August 2026. Source review for product description, lot location and instructions.</w:t>
      </w:r>
    </w:p>
    <w:p>
      <w:r>
        <w:rPr>
          <w:b/>
        </w:rPr>
        <w:t xml:space="preserve">[11] </w:t>
      </w:r>
      <w:hyperlink r:id="rId21">
        <w:r>
          <w:rPr>
            <w:color w:val="175675"/>
          </w:rPr>
          <w:t>Health Canada amika Mirrorball shampoo recall</w:t>
        </w:r>
      </w:hyperlink>
      <w:r>
        <w:t>. Consumer product recall, 2025. Units sold in Canada and reports received by the company; motivation for the exploratory review question.</w:t>
      </w:r>
    </w:p>
    <w:p>
      <w:r>
        <w:rPr>
          <w:b/>
        </w:rPr>
        <w:t xml:space="preserve">[12] </w:t>
      </w:r>
      <w:hyperlink r:id="rId22">
        <w:r>
          <w:rPr>
            <w:color w:val="175675"/>
          </w:rPr>
          <w:t>McAuley Lab Amazon Reviews 2023</w:t>
        </w:r>
      </w:hyperlink>
      <w:r>
        <w:t>. Dated product reviews to September 2023. Candidate review source; not yet downloaded or measured.</w:t>
      </w:r>
    </w:p>
    <w:p>
      <w:r>
        <w:rPr>
          <w:b/>
        </w:rPr>
        <w:t xml:space="preserve">[13] </w:t>
      </w:r>
      <w:hyperlink r:id="rId23">
        <w:r>
          <w:rPr>
            <w:color w:val="175675"/>
          </w:rPr>
          <w:t>openFDA cosmetic adverse event API</w:t>
        </w:r>
      </w:hyperlink>
      <w:r>
        <w:t>. Dated reports submitted to the United States Food and Drug Administration. A report does not establish causation.</w:t>
      </w:r>
    </w:p>
    <w:sectPr w:rsidR="00FC693F" w:rsidRPr="0006063C" w:rsidSect="00034616">
      <w:footerReference w:type="default" r:id="rId9"/>
      <w:pgSz w:w="11909" w:h="16834"/>
      <w:pgMar w:top="1008" w:right="1080" w:bottom="1008"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op.europa.eu/webpub/just/safety-gate-2025-report/en/" TargetMode="External"/><Relationship Id="rId12" Type="http://schemas.openxmlformats.org/officeDocument/2006/relationships/hyperlink" Target="https://www.gov.uk/government/statistics/product-safety-database-annual-reports/product-safety-database-report-2025-to-2026" TargetMode="External"/><Relationship Id="rId13" Type="http://schemas.openxmlformats.org/officeDocument/2006/relationships/hyperlink" Target="https://www.data.gouv.fr/datasets/rappelconso-v2-rappels-de-produits" TargetMode="External"/><Relationship Id="rId14" Type="http://schemas.openxmlformats.org/officeDocument/2006/relationships/hyperlink" Target="https://www.data.gouv.fr/reuses/alerte-conso-rappels-de-produits-scan-et-suivi" TargetMode="External"/><Relationship Id="rId15" Type="http://schemas.openxmlformats.org/officeDocument/2006/relationships/hyperlink" Target="https://www.oecd.org/en/publications/enhancing-product-recall-effectiveness-globally_ef71935c-en.html" TargetMode="External"/><Relationship Id="rId16" Type="http://schemas.openxmlformats.org/officeDocument/2006/relationships/hyperlink" Target="https://arxiv.org/abs/2004.00584" TargetMode="External"/><Relationship Id="rId17" Type="http://schemas.openxmlformats.org/officeDocument/2006/relationships/hyperlink" Target="https://aclanthology.org/2025.findings-naacl.437/" TargetMode="External"/><Relationship Id="rId18" Type="http://schemas.openxmlformats.org/officeDocument/2006/relationships/hyperlink" Target="https://www.data.gouv.fr/datasets/open-beauty-facts" TargetMode="External"/><Relationship Id="rId19" Type="http://schemas.openxmlformats.org/officeDocument/2006/relationships/hyperlink" Target="https://support.openfoodfacts.org/help/en-gb/11-open-beauty-facts/70-where-can-i-download-open-beauty-facts-data" TargetMode="External"/><Relationship Id="rId20" Type="http://schemas.openxmlformats.org/officeDocument/2006/relationships/hyperlink" Target="https://rappel.conso.gouv.fr/static/fiches/fc56c943-13a9-46b8-a4b4-afc4eb9f3321.html" TargetMode="External"/><Relationship Id="rId21" Type="http://schemas.openxmlformats.org/officeDocument/2006/relationships/hyperlink" Target="https://recalls-rappels.canada.ca/en/alert-recall/amika-mirrorball-high-shine-protect-antioxidant-shampoo-recalled-due-microbial" TargetMode="External"/><Relationship Id="rId22" Type="http://schemas.openxmlformats.org/officeDocument/2006/relationships/hyperlink" Target="https://amazon-reviews-2023.github.io/" TargetMode="External"/><Relationship Id="rId23" Type="http://schemas.openxmlformats.org/officeDocument/2006/relationships/hyperlink" Target="https://open.fda.gov/apis/cosmetic/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Cosmetic Recall Matching and Batch Verification</dc:title>
  <dc:subject>YuvaIntern Week 1 Beauty and Wellness Problem Definition</dc:subject>
  <dc:creator>Pawan Singh Kapkoti</dc:creator>
  <cp:keywords/>
  <dc:description/>
  <cp:lastModifiedBy>Pawan Singh Kapkoti</cp:lastModifiedBy>
  <cp:revision>1</cp:revision>
  <dcterms:created xsi:type="dcterms:W3CDTF">2013-12-23T23:15:00Z</dcterms:created>
  <dcterms:modified xsi:type="dcterms:W3CDTF">2013-12-23T23:15:00Z</dcterms:modified>
  <cp:category/>
</cp:coreProperties>
</file>