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Reference Paper Review</w:t>
      </w:r>
    </w:p>
    <w:p>
      <w:r>
        <w:t>Challenge 35 — Predicting CYP450 Substrate Liability</w:t>
      </w:r>
    </w:p>
    <w:p>
      <w:pPr>
        <w:pStyle w:val="Heading1"/>
      </w:pPr>
      <w:r>
        <w:t>Selected high-impact reference</w:t>
      </w:r>
    </w:p>
    <w:p>
      <w:r>
        <w:t>Bender, A., Thomas, M. C., Scannell, J. W. et al. (2026). “Artificial intelligence in drug discovery — what it is, where we stand and the path forward.” Nature Reviews Drug Discovery. Published 7 August 2026. DOI 10.1038/s41573-026-01496-2. Article: https://www.nature.com/articles/s41573-026-01496-2</w:t>
      </w:r>
    </w:p>
    <w:p>
      <w:r>
        <w:t>The official Nature Reviews Drug Discovery journal-metrics page reports a 2025 Journal Impact Factor of 91.2, exceeding the project’s requirement of 40: https://www.nature.com/nrd/journal-impact</w:t>
      </w:r>
    </w:p>
    <w:p>
      <w:pPr>
        <w:pStyle w:val="Heading1"/>
      </w:pPr>
      <w:r>
        <w:t>Why it is relevant</w:t>
      </w:r>
    </w:p>
    <w:p>
      <w:r>
        <w:t>The article addresses the gap between benchmark scores and useful outcomes in drug discovery. It discusses conditional biological data, task specification, validation, reproducibility and translational relevance. Those themes support a careful project design that evaluates both unseen compounds and unseen scaffolds, preserves incomplete assay coverage, reports per-isoform results and states limitations clearly.</w:t>
      </w:r>
    </w:p>
    <w:p>
      <w:pPr>
        <w:pStyle w:val="Heading1"/>
      </w:pPr>
      <w:r>
        <w:t>Main arguments and application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Theme in paper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Application to this project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Conditional biological data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Describe substrate-label definitions and potential assay heterogeneity.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Validation quality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Use cold-compound and scaffold-disjoint splits rather than random split alone.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Incomplete measurements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Mask missing isoform labels; do not treat unknown as non-substrate.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Reproducibility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Provide data provenance, environment setup, notebook order, outputs and checkpoints.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Decision relevance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Report errors and applicability domain; avoid clinical claims.</w:t>
            </w:r>
          </w:p>
        </w:tc>
      </w:tr>
    </w:tbl>
    <w:p/>
    <w:p>
      <w:pPr>
        <w:pStyle w:val="Heading1"/>
      </w:pPr>
      <w:r>
        <w:t>Critical assessment</w:t>
      </w:r>
    </w:p>
    <w:p>
      <w:r>
        <w:t>Strength: it is a current high-impact perspective that provides a strong framework for evaluating AI in drug discovery. Limitation: it is broad and is not a CYP-specific modeling paper. Use it to support validation principles, not as evidence that its authors validated this particular classifier.</w:t>
      </w:r>
    </w:p>
    <w:p>
      <w:pPr>
        <w:pStyle w:val="Heading1"/>
      </w:pPr>
      <w:r>
        <w:t>CYP-specific companion paper</w:t>
      </w:r>
    </w:p>
    <w:p>
      <w:r>
        <w:t>Fang, J. et al. (2024). “Prediction of Cytochrome P450 Substrates Using the Explainable Multitask Deep Learning Models.” Chemical Research in Toxicology 37(9), 1535–1548. DOI: https://doi.org/10.1021/acs.chemrestox.4c00199. Publisher: https://pubs.acs.org/doi/10.1021/acs.chemrestox.4c00199</w:t>
      </w:r>
    </w:p>
    <w:p>
      <w:r>
        <w:t>This paper directly studies CYP3A4, CYP2C9, CYP2C19, CYP2D6 and CYP1A2. Its abstract reports an average test AUC of 90.8% for a selected multitask approach and discusses SHAP, attention and substructure mining. Its number is not directly comparable with our macro AUCs unless dataset, split, preprocessing and aggregation are matched.</w:t>
      </w:r>
    </w:p>
    <w:p>
      <w:pPr>
        <w:pStyle w:val="Heading1"/>
      </w:pPr>
      <w:r>
        <w:t>Interpretation alongside our results</w:t>
      </w:r>
    </w:p>
    <w:p>
      <w:r>
        <w:t>Our cold-compound macro ROC-AUCs are 0.780 for Random Forest, 0.764 for Logistic Regression and 0.755 for original MTL. Scaffold macro ROC-AUCs are 0.764, 0.738 and 0.712, respectively. These results do not show a universal benefit from MTL under our protocols. This is not evidence that one paper/model is universally superior; the data and validation protocols differ.</w:t>
      </w:r>
    </w:p>
    <w:p>
      <w:pPr>
        <w:pStyle w:val="Heading1"/>
      </w:pPr>
      <w:r>
        <w:t>References</w:t>
      </w:r>
    </w:p>
    <w:p>
      <w:r>
        <w:t>Bender et al. (2026). https://doi.org/10.1038/s41573-026-01496-2</w:t>
      </w:r>
    </w:p>
    <w:p>
      <w:r>
        <w:t>Fang et al. (2024). https://doi.org/10.1021/acs.chemrestox.4c00199</w:t>
      </w:r>
    </w:p>
    <w:p>
      <w:r>
        <w:t>Official journal metrics: https://www.nature.com/nrd/journal-impact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