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MARCHLEWSKI</w:t>
            </w:r>
          </w:p>
        </w:tc>
        <w:tc>
          <w:tcPr>
            <w:tcW w:type="dxa" w:w="3456"/>
          </w:tcPr>
          <w:p>
            <w:r>
              <w:t>w dn. 31.01 - 01.02.2021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Rzym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456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Nakło nad Notecią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Jan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04.03.2021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5)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02.12.2020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Rzym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tutaj</w:t>
            </w:r>
          </w:p>
        </w:tc>
        <w:tc>
          <w:tcPr>
            <w:tcW w:type="dxa" w:w="2160"/>
          </w:tcPr>
          <w:p>
            <w:r>
              <w:t>DZIWUSZ</w:t>
            </w:r>
          </w:p>
        </w:tc>
        <w:tc>
          <w:tcPr>
            <w:tcW w:type="dxa" w:w="3456"/>
          </w:tcPr>
          <w:p>
            <w:r>
              <w:t>w dn. 06 - 07.03.2021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04 - 07.03.2021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850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