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body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4"/>
          </w:rPr>
          <w:tab/>
          <w:t>Województwo: </w:t>
        </w:r>
        <w:r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4"/>
          </w:rPr>
          <w:tab/>
          <w:t>Powiat: </w:t>
        </w:r>
        <w:r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4"/>
          </w:rPr>
          <w:tab/>
          <w:t>Jednostka ewidencyjna: </w:t>
        </w:r>
        <w:r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4"/>
          </w:rPr>
          <w:tab/>
          <w:t>Obręb: - nazwa: </w:t>
        </w:r>
        <w:r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4"/>
          </w:rPr>
          <w:tab/>
          <w:t>numer: </w:t>
        </w:r>
        <w:r>
          <w:tab/>
        </w:r>
      </w:p>
      <w:p>
        <w:pPr>
          <w:pStyle w:val="Nagwek1"/>
          <w:spacing w:line="360" w:lineRule="auto"/>
          <w:jc w:val="center"/>
          <w:rPr>
            <w:b/>
            <w:sz w:val="28"/>
          </w:rPr>
        </w:pPr>
        <w:r>
          <w:rPr>
            <w:rFonts w:ascii="Times New Roman" w:hAnsi="Times New Roman"/>
            <w:b/>
            <w:sz w:val="28"/>
          </w:rPr>
          <w:t>PROTOKÓŁ</w:t>
        </w:r>
      </w:p>
      <w:p>
        <w:pPr>
          <w:spacing w:line="360" w:lineRule="auto"/>
          <w:jc w:val="center"/>
          <w:rPr>
            <w:sz w:val="28"/>
          </w:rPr>
        </w:pPr>
        <w:r>
          <w:rPr>
            <w:rFonts w:ascii="Times New Roman" w:hAnsi="Times New Roman"/>
            <w:sz w:val="28"/>
          </w:rPr>
          <w:t>badania ksiąg wieczystych (dla nieruchomości gruntowych)</w:t>
        </w:r>
      </w:p>
      <w:p>
        <w:pPr>
          <w:tabs>
            <w:tab w:val="center" w:leader="dot" w:pos="7797"/>
          </w:tabs>
          <w:spacing w:line="360" w:lineRule="auto"/>
          <w:jc w:val="center"/>
          <w:rPr>
            <w:sz w:val="28"/>
          </w:rPr>
        </w:pPr>
        <w:r>
          <w:rPr>
            <w:rFonts w:ascii="Times New Roman" w:hAnsi="Times New Roman"/>
            <w:sz w:val="28"/>
          </w:rPr>
          <w:t>w Sądzie Rejonowym w</w:t>
        </w:r>
        <w:r>
          <w:rPr>
            <w:sz w:val="28"/>
          </w:rPr>
          <w:tab/>
        </w:r>
      </w:p>
      <w:p>
        <w:pPr>
          <w:tabs>
            <w:tab w:val="left" w:leader="dot" w:pos="3828"/>
          </w:tabs>
          <w:spacing w:line="360" w:lineRule="auto"/>
          <w:ind w:left="284"/>
          <w:rPr>
            <w:sz w:val="24"/>
          </w:rPr>
        </w:pPr>
        <w:r>
          <w:rPr>
            <w:sz w:val="24"/>
          </w:rPr>
          <w:t>Data</w:t>
        </w:r>
        <w:r>
          <w:rPr>
            <w:sz w:val="24"/>
          </w:rPr>
          <w:tab/>
        </w:r>
      </w:p>
      <w:sectPr>
        <w:pgSz w:w="16839" w:h="11907" w:orient="landscape" w:code="9"/>
        <w:pgMar w:top="566" w:right="566" w:bottom="566" w:left="566" w:header="708" w:footer="708" w:gutter="0"/>
        <w:cols w:space="708"/>
      </w:sectPr>
    </w:body>
    <w:tbl>
      <w:tblPr>
        <w:tblStyle w:val="TableGrid"/>
        <w:tblW w:w="0" w:type="auto"/>
        <w:tblLook w:val="04A0"/>
      </w:tblPr>
      <w:tblGrid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</w:tblGrid>
      <w:tr>
        <w:tc>
          <w:tcPr>
            <w:tcW w:w="4653" w:type="dxa"/>
            <w:vMerge w:val="restart"/>
          </w:tcPr>
          <w:p/>
        </w:tc>
        <w:tc>
          <w:tcPr>
            <w:tcW w:w="4653" w:type="dxa"/>
            <w:hMerge w:val="restart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vMerge w:val="restart"/>
          </w:tcPr>
          <w:p/>
        </w:tc>
        <w:tc>
          <w:tcPr>
            <w:tcW w:w="4653" w:type="dxa"/>
            <w:vMerge w:val="restart"/>
          </w:tcPr>
          <w:p/>
        </w:tc>
        <w:tc>
          <w:tcPr>
            <w:tcW w:w="4653" w:type="dxa"/>
            <w:vMerge w:val="restart"/>
          </w:tcPr>
          <w:p/>
        </w:tc>
        <w:tc>
          <w:tcPr>
            <w:tcW w:w="4653" w:type="dxa"/>
            <w:hMerge w:val="restart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</w:tcPr>
          <w:p/>
        </w:tc>
        <w:tc>
          <w:tcPr>
            <w:tcW w:w="4653" w:type="dxa"/>
            <w:vMerge w:val="restart"/>
          </w:tcPr>
          <w:p/>
        </w:tc>
      </w:tr>
      <w:tr>
        <w:tc>
          <w:tcPr>
            <w:tcW w:w="4653" w:type="dxa"/>
            <w:vMerge w:val="continue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  <w:vMerge w:val="continue"/>
          </w:tcPr>
          <w:p/>
        </w:tc>
      </w:tr>
      <w:tr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</w:tr>
      <w:tr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</w:tr>
    </w:tbl>
    <w:sectPr>
      <w:pgSz w:w="16839" w:h="11907" w:orient="landscape" w:code="9"/>
      <w:pgMar w:top="566" w:right="566" w:bottom="566" w:left="566" w:header="708" w:footer="708" w:gutter="0"/>
      <w:cols w:space="708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