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rFonts w:ascii="Poppins" w:cs="Poppins" w:eastAsia="Poppins" w:hAnsi="Poppins"/>
        </w:rPr>
      </w:pPr>
      <w:bookmarkStart w:colFirst="0" w:colLast="0" w:name="_tx6fdql3qsu1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ff6600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-28574</wp:posOffset>
            </wp:positionH>
            <wp:positionV relativeFrom="page">
              <wp:posOffset>-4711</wp:posOffset>
            </wp:positionV>
            <wp:extent cx="7829550" cy="1957388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957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ff6600"/>
          <w:sz w:val="28"/>
          <w:szCs w:val="28"/>
          <w:rtl w:val="0"/>
        </w:rPr>
        <w:t xml:space="preserve">Izodom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0" w:line="275.9999942779541" w:lineRule="auto"/>
        <w:jc w:val="center"/>
        <w:rPr>
          <w:rFonts w:ascii="Poppins" w:cs="Poppins" w:eastAsia="Poppins" w:hAnsi="Poppins"/>
        </w:rPr>
      </w:pPr>
      <w:bookmarkStart w:colFirst="0" w:colLast="0" w:name="_fhyw22ljyomb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48"/>
          <w:szCs w:val="48"/>
          <w:rtl w:val="0"/>
        </w:rPr>
        <w:t xml:space="preserve">OFERTA: Wstępny Audyt Lejka Marketingowo-Sprzedażowego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b7b7b7"/>
          <w:rtl w:val="0"/>
        </w:rPr>
        <w:t xml:space="preserve">08.03.2026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Poppins" w:cs="Poppins" w:eastAsia="Poppins" w:hAnsi="Poppin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u w:val="single"/>
          <w:rtl w:val="0"/>
        </w:rPr>
        <w:t xml:space="preserve">Spis treści</w:t>
      </w:r>
    </w:p>
    <w:sdt>
      <w:sdtPr>
        <w:id w:val="-8380180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Cel audytu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Metodyka i zakres audytu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Dane ilościowe (Co i gdzie nie działa?)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Dane jakościowe (Dlaczego to nie działa?)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Zakres wniosków i rekomendacji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Oferta i harmonogram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Poppins" w:cs="Poppins" w:eastAsia="Poppins" w:hAnsi="Poppins"/>
        </w:rPr>
        <w:sectPr>
          <w:footerReference r:id="rId7" w:type="default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36"/>
          <w:szCs w:val="36"/>
          <w:rtl w:val="0"/>
        </w:rPr>
        <w:t xml:space="preserve">1. Cel audytu</w:t>
      </w:r>
    </w:p>
    <w:p w:rsidR="00000000" w:rsidDel="00000000" w:rsidP="00000000" w:rsidRDefault="00000000" w:rsidRPr="00000000" w14:paraId="0000000E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Audyt ma na celu szczegółowe przeanalizowanie procesu pozyskiwania klientów – od pierwszego kliknięcia w reklamę do podpisania umowy na budowę. Identyfikujemy ograniczenia systemu, które powodują, że z 1600 zapytań miesięcznie tylko określona część konwertuje na sprzedaż.</w:t>
      </w:r>
    </w:p>
    <w:p w:rsidR="00000000" w:rsidDel="00000000" w:rsidP="00000000" w:rsidRDefault="00000000" w:rsidRPr="00000000" w14:paraId="0000000F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Pozwala to na zdefiniowanie obiektywnego punktu wyjścia i podjęcie decyzji o optymalizacji w oparciu o fakty. Celem końcowym jest dostarczenie strategii wzrostu, która połączy wydatki reklamowe z realnym zyskiem.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36"/>
          <w:szCs w:val="36"/>
          <w:rtl w:val="0"/>
        </w:rPr>
        <w:t xml:space="preserve">2. Metodyka i zakres audytu</w:t>
      </w:r>
    </w:p>
    <w:p w:rsidR="00000000" w:rsidDel="00000000" w:rsidP="00000000" w:rsidRDefault="00000000" w:rsidRPr="00000000" w14:paraId="00000011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Prace audytowe dzielimy na dwa główne obszary badawcze. Dane ilościowe pozwolą nam odpowiedzieć na pytanie: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co i gdzie nie działa?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Z kolei dane jakościowe dadzą nam odpowiedź: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dlaczego to nie działa?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120"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2.1 Dane ilościowe (Co i gdzie nie działa?)</w:t>
      </w:r>
    </w:p>
    <w:p w:rsidR="00000000" w:rsidDel="00000000" w:rsidP="00000000" w:rsidRDefault="00000000" w:rsidRPr="00000000" w14:paraId="00000013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Źródła danych: Meta Ads, Google Ads, Google Analytics, system CRM (LiveSpace).</w:t>
      </w:r>
    </w:p>
    <w:p w:rsidR="00000000" w:rsidDel="00000000" w:rsidP="00000000" w:rsidRDefault="00000000" w:rsidRPr="00000000" w14:paraId="00000014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Wiem, że posiadacie już wewnętrzne raporty, a proces jest monitorowany. Celem tego etapu jest zapoznanie się z metodą ich tworzenia oraz krzyżowe sprawdzenie poprawności i spójności zbierania danych bezpośrednio w systemach.</w:t>
      </w:r>
    </w:p>
    <w:p w:rsidR="00000000" w:rsidDel="00000000" w:rsidP="00000000" w:rsidRDefault="00000000" w:rsidRPr="00000000" w14:paraId="00000015">
      <w:pPr>
        <w:widowControl w:val="0"/>
        <w:spacing w:after="12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Zakres zadań operacyjnych: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Weryfikacja dostępów do kont i konfiguracji uprawnień.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Zapoznanie się z obecnymi raportami Izodom i weryfikacja logiki ich powstawania.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Wyrywkowe skrzyżowanie danych (zestawienie wydatków i leadów z kampanii z faktycznymi statusami w LiveSpace dla wybranych prób testowych), aby zweryfikować wiarygodność obecnych raportów i sprawdzić faktyczne źródła sprzedaży.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Analiza możliwości śledzenia kohort w obecnej architekturze (weryfikacja, czy systemy pozwalają na powiązanie użytkowników z danego miesiąca z finalną sprzedażą w kolejnych miesiącach). Pozwala to uniknąć porównywania niepowiązanych ze sobą okresów.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Odtworzenie kluczowych etapów lejka w oparciu o dostępne raporty i wyrywkowe pomiary, a następnie zmierzenie dokładnego współczynnika konwersji z jednego etapu na drugi dla następującego modelu: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after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Kliknięcie w reklamę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Wizyty na stronie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Rejestracja do call center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Leady zwalidowane przez call center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Spotkanie dodane do kalendarza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Spotkania, które się odbyły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120" w:before="0" w:beforeAutospacing="0" w:line="275.9999942779541" w:lineRule="auto"/>
        <w:ind w:left="87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Sprzedane projekty / Pozyskane projekty</w:t>
      </w:r>
    </w:p>
    <w:p w:rsidR="00000000" w:rsidDel="00000000" w:rsidP="00000000" w:rsidRDefault="00000000" w:rsidRPr="00000000" w14:paraId="00000022">
      <w:pPr>
        <w:widowControl w:val="0"/>
        <w:spacing w:after="240" w:before="12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Estymacja czasowa: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10 - 12 godzin pracy analitycznej.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120"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2.2 Dane jakościowe (Dlaczego to nie działa?)</w:t>
      </w:r>
    </w:p>
    <w:p w:rsidR="00000000" w:rsidDel="00000000" w:rsidP="00000000" w:rsidRDefault="00000000" w:rsidRPr="00000000" w14:paraId="00000024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Źródła danych: Analiza reklam, skryptów, nagranych spotkań sprzedażowych oraz działań operacyjnych agencji.</w:t>
      </w:r>
    </w:p>
    <w:p w:rsidR="00000000" w:rsidDel="00000000" w:rsidP="00000000" w:rsidRDefault="00000000" w:rsidRPr="00000000" w14:paraId="00000025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Proces kwalifikacji i koszty poznawcze:</w:t>
      </w:r>
    </w:p>
    <w:p w:rsidR="00000000" w:rsidDel="00000000" w:rsidP="00000000" w:rsidRDefault="00000000" w:rsidRPr="00000000" w14:paraId="00000026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Każde dodatkowe pole w formularzu stanowi koszt poznawczy dla użytkownika i bezpośrednio obniża współczynnik konwersji. Odrzucenie części ruchu jest uzasadnione tylko wtedy, gdy zadane pytanie dostarcza informacji, która jest realnie wykorzystywana w procesie sprzedażowym.</w:t>
      </w:r>
    </w:p>
    <w:p w:rsidR="00000000" w:rsidDel="00000000" w:rsidP="00000000" w:rsidRDefault="00000000" w:rsidRPr="00000000" w14:paraId="00000027">
      <w:pPr>
        <w:widowControl w:val="0"/>
        <w:spacing w:after="12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Zakres zadań operacyjnych: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Zestawienie profili klientów idealnych z osobami, które nie kupiły, ponieważ uznaliście je za niskiej jakości leady, mimo że dotarły na rozmowę sprzedażową.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Odsłuchanie i analiza reprezentatywnej próby nagrań rozmów sprzedażowych (ok. 10-15 nagrań).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Przegląd notatek handlowców w systemie LiveSpace.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Zestawienie obietnicy składanej w kampaniach reklamowych na landing page'ach z faktyczną argumentacją handlowców na spotkaniach w celu weryfikacji spójności przekazu.</w:t>
      </w:r>
    </w:p>
    <w:p w:rsidR="00000000" w:rsidDel="00000000" w:rsidP="00000000" w:rsidRDefault="00000000" w:rsidRPr="00000000" w14:paraId="0000002C">
      <w:pPr>
        <w:widowControl w:val="0"/>
        <w:spacing w:after="240" w:before="12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Estymacja czasowa: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16 - 24 godziny pracy analitycznej.</w:t>
      </w:r>
    </w:p>
    <w:p w:rsidR="00000000" w:rsidDel="00000000" w:rsidP="00000000" w:rsidRDefault="00000000" w:rsidRPr="00000000" w14:paraId="0000002D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Konfiguracja działań marketingowych agencji:</w:t>
      </w:r>
    </w:p>
    <w:p w:rsidR="00000000" w:rsidDel="00000000" w:rsidP="00000000" w:rsidRDefault="00000000" w:rsidRPr="00000000" w14:paraId="0000002E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Nie oceniamy agencji w próżni, ale w odniesieniu do postawionych jej celów biznesowych.</w:t>
      </w:r>
    </w:p>
    <w:p w:rsidR="00000000" w:rsidDel="00000000" w:rsidP="00000000" w:rsidRDefault="00000000" w:rsidRPr="00000000" w14:paraId="0000002F">
      <w:pPr>
        <w:widowControl w:val="0"/>
        <w:spacing w:after="12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Zakres zadań operacyjnych: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Weryfikacja celów postawionych przed agencją marketingową i sposobów ich raportowania.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Techniczny audyt struktury kampanii (Meta/Google), definicji zdarzeń konwersji oraz precyzji kierowania reklam.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Analiza logów zmian (Change History) na kontach reklamowych w celu oceny faktycznej częstotliwości i jakości optymalizacji przeprowadzanych przez agencję.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Udział w 2-3 spotkaniach roboczych z agencją w roli Twojego wsparcia eksperckiego w celu konfrontacji zebranych danych i zadania precyzyjnych pytań technicznych.</w:t>
      </w:r>
    </w:p>
    <w:p w:rsidR="00000000" w:rsidDel="00000000" w:rsidP="00000000" w:rsidRDefault="00000000" w:rsidRPr="00000000" w14:paraId="00000034">
      <w:pPr>
        <w:widowControl w:val="0"/>
        <w:spacing w:after="240" w:before="12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Estymacja czasowa: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12 - 16 godzin pracy audytowej i konsultacyjnej.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36"/>
          <w:szCs w:val="36"/>
          <w:rtl w:val="0"/>
        </w:rPr>
        <w:t xml:space="preserve">3. Zakres wniosków i rekomendacji</w:t>
      </w:r>
    </w:p>
    <w:p w:rsidR="00000000" w:rsidDel="00000000" w:rsidP="00000000" w:rsidRDefault="00000000" w:rsidRPr="00000000" w14:paraId="00000036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Wynikiem przeprowadzonych prac będzie dokument podsumowujący audyt oraz spotkanie z osobami decyzyjnymi.</w:t>
      </w:r>
    </w:p>
    <w:p w:rsidR="00000000" w:rsidDel="00000000" w:rsidP="00000000" w:rsidRDefault="00000000" w:rsidRPr="00000000" w14:paraId="00000037">
      <w:pPr>
        <w:widowControl w:val="0"/>
        <w:spacing w:after="12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Zakres zadań operacyjnych: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Opracowanie raportu zawierającego ocenę architektury przepływu leadów.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Wskazanie kluczowego czynnika ograniczającego wzrost (wąskiego gardła).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Opracowanie konkretnych rekomendacji ulepszeń (np. dotyczące technicznej integracji systemu LiveSpace z platformami reklamowymi).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Stworzenie strategii wzrostu opisującej zalecane kroki optymalizacyjne z podziałem na priorytety operacyjne.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Prezentacja wyników i omówienie kolejnych kroków biznesowych.</w:t>
      </w:r>
    </w:p>
    <w:p w:rsidR="00000000" w:rsidDel="00000000" w:rsidP="00000000" w:rsidRDefault="00000000" w:rsidRPr="00000000" w14:paraId="0000003D">
      <w:pPr>
        <w:widowControl w:val="0"/>
        <w:spacing w:after="240" w:before="12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Estymacja czasowa: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10 - 14 godzin pracy koncepcyjnej i doradczej.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spacing w:before="0" w:line="275.9999942779541" w:lineRule="auto"/>
        <w:jc w:val="both"/>
        <w:rPr>
          <w:rFonts w:ascii="Poppins" w:cs="Poppins" w:eastAsia="Poppins" w:hAnsi="Poppi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36"/>
          <w:szCs w:val="36"/>
          <w:rtl w:val="0"/>
        </w:rPr>
        <w:t xml:space="preserve">4. Oferta i harmonogram</w:t>
      </w:r>
    </w:p>
    <w:p w:rsidR="00000000" w:rsidDel="00000000" w:rsidP="00000000" w:rsidRDefault="00000000" w:rsidRPr="00000000" w14:paraId="0000003F">
      <w:pPr>
        <w:widowControl w:val="0"/>
        <w:spacing w:after="24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Całkowite zaangażowanie eksperckie niezbędne do rzetelnego zrealizowania powyższego zakresu szacowane jest na poziomie od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48 do 66 godzin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pracy operacyjnej, analitycznej i strategicznej.</w:t>
      </w:r>
    </w:p>
    <w:p w:rsidR="00000000" w:rsidDel="00000000" w:rsidP="00000000" w:rsidRDefault="00000000" w:rsidRPr="00000000" w14:paraId="00000040">
      <w:pPr>
        <w:widowControl w:val="0"/>
        <w:spacing w:after="120" w:line="275.9999942779541" w:lineRule="auto"/>
        <w:jc w:val="both"/>
        <w:rPr>
          <w:rFonts w:ascii="Poppins" w:cs="Poppins" w:eastAsia="Poppins" w:hAnsi="Poppins"/>
          <w:color w:val="1f1f1f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Aby zapewnić pełną przewidywalność kosztów dla organizacji, projekt oferowany jest w modelu stałej wyceny (fixed fee), z pełną odpowiedzialnością za dostarczenie kompletnego raportu i strategii po mojej stronie.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Kompleksowa realizacja audytu: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14 500 zł netto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rtl w:val="0"/>
        </w:rPr>
        <w:t xml:space="preserve">Szacowany czas realizacji:</w:t>
      </w: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 4 do 6 tygodni. Czas ten uwzględnia naturalne tarcie operacyjne obecne w projektach analitycznych (oczekiwanie na nadanie odpowiednich uprawnień, koordynacja kalendarzy z agencją i zespołem, wyjaśnianie ewentualnych rozbieżności w systemach). Rozliczenie w modelu fixed fee gwarantuje dowiezienie kompletnego rezultatu bez dodatkowych kosztów, niezależnie od tego, czy z przyczyn operacyjnych proces zajmie 4 czy 6 tygodni.</w:t>
      </w:r>
    </w:p>
    <w:p w:rsidR="00000000" w:rsidDel="00000000" w:rsidP="00000000" w:rsidRDefault="00000000" w:rsidRPr="00000000" w14:paraId="00000043">
      <w:pPr>
        <w:widowControl w:val="0"/>
        <w:spacing w:after="240" w:before="120" w:line="275.9999942779541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f1f1f"/>
          <w:rtl w:val="0"/>
        </w:rPr>
        <w:t xml:space="preserve">Dopiero gdy obie strony będą miały pełną jasność co do stanu faktycznego na podstawie raportu, ustalimy możliwe scenariusze dalszej współpracy przy wdrażaniu strategii rozwoju.</w:t>
      </w:r>
      <w:r w:rsidDel="00000000" w:rsidR="00000000" w:rsidRPr="00000000">
        <w:rPr>
          <w:rFonts w:ascii="Poppins" w:cs="Poppins" w:eastAsia="Poppins" w:hAnsi="Poppins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-28574</wp:posOffset>
            </wp:positionH>
            <wp:positionV relativeFrom="page">
              <wp:posOffset>8065770</wp:posOffset>
            </wp:positionV>
            <wp:extent cx="7829550" cy="1957388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957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Poppins" w:cs="Poppins" w:eastAsia="Poppins" w:hAnsi="Poppi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