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BF8F" w14:textId="5E6F2D0C" w:rsidR="00AB0C51" w:rsidRPr="00C66F7B" w:rsidRDefault="00AB0C51" w:rsidP="00C66F7B">
      <w:pPr>
        <w:shd w:val="clear" w:color="auto" w:fill="0070C0"/>
        <w:autoSpaceDE w:val="0"/>
        <w:autoSpaceDN w:val="0"/>
        <w:adjustRightInd w:val="0"/>
        <w:jc w:val="center"/>
        <w:rPr>
          <w:rFonts w:cstheme="minorHAnsi"/>
          <w:b/>
          <w:bCs/>
          <w:color w:val="FFFFFF" w:themeColor="background1"/>
          <w:sz w:val="52"/>
          <w:szCs w:val="52"/>
          <w:lang w:val="en-GB"/>
        </w:rPr>
      </w:pPr>
      <w:r w:rsidRPr="00C66F7B">
        <w:rPr>
          <w:rFonts w:asciiTheme="minorHAnsi" w:hAnsiTheme="minorHAnsi" w:cstheme="minorHAnsi"/>
          <w:b/>
          <w:bCs/>
          <w:color w:val="FFFFFF" w:themeColor="background1"/>
          <w:sz w:val="52"/>
          <w:szCs w:val="52"/>
          <w:lang w:val="en-GB"/>
        </w:rPr>
        <w:t>PROJECT NOTES</w:t>
      </w:r>
    </w:p>
    <w:p w14:paraId="30048CB9" w14:textId="77777777" w:rsidR="00C66F7B" w:rsidRPr="00C66F7B" w:rsidRDefault="00C66F7B" w:rsidP="00C66F7B">
      <w:pPr>
        <w:shd w:val="clear" w:color="auto" w:fill="0070C0"/>
        <w:autoSpaceDE w:val="0"/>
        <w:autoSpaceDN w:val="0"/>
        <w:adjustRightInd w:val="0"/>
        <w:jc w:val="center"/>
        <w:rPr>
          <w:rFonts w:cstheme="minorHAnsi"/>
          <w:b/>
          <w:bCs/>
          <w:i/>
          <w:iCs/>
          <w:color w:val="FFFFFF" w:themeColor="background1"/>
          <w:sz w:val="32"/>
          <w:szCs w:val="32"/>
          <w:lang w:val="en-GB"/>
        </w:rPr>
      </w:pPr>
      <w:r w:rsidRPr="00C66F7B">
        <w:rPr>
          <w:rFonts w:cstheme="minorHAnsi"/>
          <w:b/>
          <w:bCs/>
          <w:i/>
          <w:iCs/>
          <w:color w:val="FFFFFF" w:themeColor="background1"/>
          <w:sz w:val="32"/>
          <w:szCs w:val="32"/>
          <w:lang w:val="en-GB"/>
        </w:rPr>
        <w:t>By Pawel Rosikiewicz,</w:t>
      </w:r>
    </w:p>
    <w:p w14:paraId="6A201500" w14:textId="1D61FD2E" w:rsidR="00C66F7B" w:rsidRPr="00C66F7B" w:rsidRDefault="00C66F7B" w:rsidP="00C66F7B">
      <w:pPr>
        <w:shd w:val="clear" w:color="auto" w:fill="0070C0"/>
        <w:autoSpaceDE w:val="0"/>
        <w:autoSpaceDN w:val="0"/>
        <w:adjustRightInd w:val="0"/>
        <w:jc w:val="center"/>
        <w:rPr>
          <w:rFonts w:cstheme="minorHAnsi"/>
          <w:color w:val="FFFFFF" w:themeColor="background1"/>
          <w:sz w:val="36"/>
          <w:szCs w:val="36"/>
          <w:lang w:val="en-GB"/>
        </w:rPr>
      </w:pPr>
      <w:hyperlink r:id="rId5" w:history="1">
        <w:r w:rsidRPr="00C66F7B">
          <w:rPr>
            <w:rStyle w:val="Hyperlink"/>
            <w:rFonts w:cstheme="minorHAnsi"/>
            <w:color w:val="FFFFFF" w:themeColor="background1"/>
            <w:sz w:val="28"/>
            <w:szCs w:val="28"/>
            <w:lang w:val="en-GB"/>
          </w:rPr>
          <w:t>www.SimpleAI.ch</w:t>
        </w:r>
      </w:hyperlink>
    </w:p>
    <w:p w14:paraId="4A9AF354" w14:textId="5764898F" w:rsidR="00C66F7B" w:rsidRDefault="00C66F7B" w:rsidP="00AB0C51">
      <w:pPr>
        <w:autoSpaceDE w:val="0"/>
        <w:autoSpaceDN w:val="0"/>
        <w:adjustRightInd w:val="0"/>
        <w:jc w:val="center"/>
        <w:rPr>
          <w:rFonts w:cstheme="minorHAnsi"/>
          <w:b/>
          <w:bCs/>
          <w:color w:val="18191B"/>
          <w:sz w:val="36"/>
          <w:szCs w:val="36"/>
          <w:lang w:val="en-GB"/>
        </w:rPr>
      </w:pPr>
    </w:p>
    <w:p w14:paraId="46FE0C1D" w14:textId="4AFDA587" w:rsidR="006147B6" w:rsidRDefault="006147B6" w:rsidP="00AB0C51">
      <w:pPr>
        <w:autoSpaceDE w:val="0"/>
        <w:autoSpaceDN w:val="0"/>
        <w:adjustRightInd w:val="0"/>
        <w:jc w:val="center"/>
        <w:rPr>
          <w:rFonts w:cstheme="minorHAnsi"/>
          <w:b/>
          <w:bCs/>
          <w:color w:val="18191B"/>
          <w:sz w:val="36"/>
          <w:szCs w:val="36"/>
          <w:lang w:val="en-GB"/>
        </w:rPr>
      </w:pPr>
      <w:r>
        <w:rPr>
          <w:rFonts w:cstheme="minorHAnsi"/>
          <w:b/>
          <w:bCs/>
          <w:color w:val="18191B"/>
          <w:sz w:val="36"/>
          <w:szCs w:val="36"/>
          <w:lang w:val="en-GB"/>
        </w:rPr>
        <w:t>dictionary:</w:t>
      </w:r>
    </w:p>
    <w:p w14:paraId="12EC97A6" w14:textId="77777777" w:rsidR="00780588" w:rsidRPr="00780588" w:rsidRDefault="00884111" w:rsidP="00B9455A">
      <w:pPr>
        <w:pStyle w:val="ListParagraph"/>
        <w:numPr>
          <w:ilvl w:val="0"/>
          <w:numId w:val="7"/>
        </w:numPr>
        <w:autoSpaceDE w:val="0"/>
        <w:autoSpaceDN w:val="0"/>
        <w:adjustRightInd w:val="0"/>
        <w:rPr>
          <w:rFonts w:cstheme="minorHAnsi"/>
          <w:color w:val="18191B"/>
        </w:rPr>
      </w:pPr>
      <w:proofErr w:type="spellStart"/>
      <w:r w:rsidRPr="00884111">
        <w:rPr>
          <w:rFonts w:cstheme="minorHAnsi"/>
          <w:b/>
          <w:bCs/>
          <w:color w:val="18191B"/>
          <w:lang w:val="fr-CH"/>
        </w:rPr>
        <w:t>Neoantigens</w:t>
      </w:r>
      <w:proofErr w:type="spellEnd"/>
      <w:r>
        <w:rPr>
          <w:rFonts w:cstheme="minorHAnsi"/>
          <w:color w:val="18191B"/>
          <w:lang w:val="fr-CH"/>
        </w:rPr>
        <w:t xml:space="preserve"> : </w:t>
      </w:r>
    </w:p>
    <w:p w14:paraId="21804AF6" w14:textId="5DBBBB0A" w:rsidR="00884111" w:rsidRPr="00780588" w:rsidRDefault="00884111" w:rsidP="00780588">
      <w:pPr>
        <w:pStyle w:val="ListParagraph"/>
        <w:numPr>
          <w:ilvl w:val="1"/>
          <w:numId w:val="7"/>
        </w:numPr>
        <w:autoSpaceDE w:val="0"/>
        <w:autoSpaceDN w:val="0"/>
        <w:adjustRightInd w:val="0"/>
        <w:rPr>
          <w:rFonts w:cstheme="minorHAnsi"/>
          <w:color w:val="18191B"/>
        </w:rPr>
      </w:pPr>
      <w:r w:rsidRPr="00884111">
        <w:rPr>
          <w:rFonts w:cstheme="minorHAnsi"/>
          <w:color w:val="18191B"/>
        </w:rPr>
        <w:t>Tumor-specific mutations form novel immunogenic peptides called neoantigens. Neoantigens can be used as a biomarker predicting patient response to cancer immunotherapy. Although a predicted binding affinity (IC</w:t>
      </w:r>
      <w:r w:rsidRPr="00884111">
        <w:rPr>
          <w:rFonts w:cstheme="minorHAnsi"/>
          <w:color w:val="18191B"/>
          <w:vertAlign w:val="subscript"/>
        </w:rPr>
        <w:t>50</w:t>
      </w:r>
      <w:r w:rsidRPr="00884111">
        <w:rPr>
          <w:rFonts w:cstheme="minorHAnsi"/>
          <w:color w:val="18191B"/>
        </w:rPr>
        <w:t>) between peptide and major histocompatibility complex class I is currently used for neoantigen prediction, large number of false-positives exist.</w:t>
      </w:r>
      <w:r w:rsidR="00B9455A">
        <w:rPr>
          <w:rFonts w:cstheme="minorHAnsi"/>
          <w:color w:val="18191B"/>
          <w:lang w:val="fr-CH"/>
        </w:rPr>
        <w:t xml:space="preserve"> </w:t>
      </w:r>
      <w:r w:rsidR="00780588">
        <w:rPr>
          <w:rFonts w:cstheme="minorHAnsi"/>
          <w:color w:val="18191B"/>
          <w:lang w:val="fr-CH"/>
        </w:rPr>
        <w:fldChar w:fldCharType="begin"/>
      </w:r>
      <w:r w:rsidR="00780588">
        <w:rPr>
          <w:rFonts w:cstheme="minorHAnsi"/>
          <w:color w:val="18191B"/>
          <w:lang w:val="fr-CH"/>
        </w:rPr>
        <w:instrText xml:space="preserve"> HYPERLINK "</w:instrText>
      </w:r>
      <w:r w:rsidR="00780588" w:rsidRPr="00B9455A">
        <w:rPr>
          <w:rFonts w:cstheme="minorHAnsi"/>
          <w:color w:val="18191B"/>
          <w:lang w:val="fr-CH"/>
        </w:rPr>
        <w:instrText>https://www.annalsofoncology.org/article/S0923-7534(19)45468-9/fulltext</w:instrText>
      </w:r>
      <w:r w:rsidR="00780588">
        <w:rPr>
          <w:rFonts w:cstheme="minorHAnsi"/>
          <w:color w:val="18191B"/>
          <w:lang w:val="fr-CH"/>
        </w:rPr>
        <w:instrText xml:space="preserve">" </w:instrText>
      </w:r>
      <w:r w:rsidR="00780588">
        <w:rPr>
          <w:rFonts w:cstheme="minorHAnsi"/>
          <w:color w:val="18191B"/>
          <w:lang w:val="fr-CH"/>
        </w:rPr>
        <w:fldChar w:fldCharType="separate"/>
      </w:r>
      <w:r w:rsidR="00780588" w:rsidRPr="00B375E3">
        <w:rPr>
          <w:rStyle w:val="Hyperlink"/>
          <w:rFonts w:cstheme="minorHAnsi"/>
          <w:lang w:val="fr-CH"/>
        </w:rPr>
        <w:t>https://www.annalsofoncology.org/article/S0923-7534(19)45468-9/fulltext</w:t>
      </w:r>
      <w:r w:rsidR="00780588">
        <w:rPr>
          <w:rFonts w:cstheme="minorHAnsi"/>
          <w:color w:val="18191B"/>
          <w:lang w:val="fr-CH"/>
        </w:rPr>
        <w:fldChar w:fldCharType="end"/>
      </w:r>
    </w:p>
    <w:p w14:paraId="48814A4D" w14:textId="77777777" w:rsidR="00780588" w:rsidRPr="00780588" w:rsidRDefault="00780588" w:rsidP="00780588">
      <w:pPr>
        <w:autoSpaceDE w:val="0"/>
        <w:autoSpaceDN w:val="0"/>
        <w:adjustRightInd w:val="0"/>
        <w:ind w:left="720"/>
        <w:rPr>
          <w:rFonts w:cstheme="minorHAnsi"/>
          <w:color w:val="18191B"/>
        </w:rPr>
      </w:pPr>
    </w:p>
    <w:p w14:paraId="3AAA4E4C" w14:textId="7336081D" w:rsidR="00780588" w:rsidRDefault="006147B6" w:rsidP="006147B6">
      <w:pPr>
        <w:pStyle w:val="ListParagraph"/>
        <w:numPr>
          <w:ilvl w:val="0"/>
          <w:numId w:val="7"/>
        </w:numPr>
        <w:autoSpaceDE w:val="0"/>
        <w:autoSpaceDN w:val="0"/>
        <w:adjustRightInd w:val="0"/>
        <w:rPr>
          <w:rFonts w:cstheme="minorHAnsi"/>
          <w:color w:val="18191B"/>
        </w:rPr>
      </w:pPr>
      <w:r w:rsidRPr="006147B6">
        <w:rPr>
          <w:rFonts w:cstheme="minorHAnsi"/>
          <w:b/>
          <w:bCs/>
          <w:color w:val="18191B"/>
        </w:rPr>
        <w:t>ICPIs</w:t>
      </w:r>
      <w:r w:rsidRPr="006147B6">
        <w:rPr>
          <w:rFonts w:cstheme="minorHAnsi"/>
          <w:b/>
          <w:bCs/>
          <w:color w:val="18191B"/>
        </w:rPr>
        <w:t xml:space="preserve"> </w:t>
      </w:r>
    </w:p>
    <w:p w14:paraId="3EC65734" w14:textId="41408B33" w:rsidR="00780588" w:rsidRDefault="00780588" w:rsidP="00780588">
      <w:pPr>
        <w:pStyle w:val="ListParagraph"/>
        <w:numPr>
          <w:ilvl w:val="1"/>
          <w:numId w:val="7"/>
        </w:numPr>
        <w:autoSpaceDE w:val="0"/>
        <w:autoSpaceDN w:val="0"/>
        <w:adjustRightInd w:val="0"/>
        <w:rPr>
          <w:rFonts w:cstheme="minorHAnsi"/>
          <w:color w:val="18191B"/>
        </w:rPr>
      </w:pPr>
      <w:r>
        <w:rPr>
          <w:rFonts w:cstheme="minorHAnsi"/>
          <w:b/>
          <w:bCs/>
          <w:color w:val="18191B"/>
          <w:lang w:val="fr-CH"/>
        </w:rPr>
        <w:t>T</w:t>
      </w:r>
      <w:r w:rsidR="006147B6" w:rsidRPr="006147B6">
        <w:rPr>
          <w:rFonts w:cstheme="minorHAnsi"/>
          <w:color w:val="18191B"/>
        </w:rPr>
        <w:t>reatment with immune checkpoint inhibitors (ICPIs)</w:t>
      </w:r>
    </w:p>
    <w:p w14:paraId="64290A07" w14:textId="77777777" w:rsidR="00780588" w:rsidRPr="00780588" w:rsidRDefault="00780588" w:rsidP="00780588">
      <w:pPr>
        <w:pStyle w:val="ListParagraph"/>
        <w:autoSpaceDE w:val="0"/>
        <w:autoSpaceDN w:val="0"/>
        <w:adjustRightInd w:val="0"/>
        <w:ind w:left="1080"/>
        <w:rPr>
          <w:rFonts w:cstheme="minorHAnsi"/>
          <w:color w:val="18191B"/>
        </w:rPr>
      </w:pPr>
    </w:p>
    <w:p w14:paraId="5472E910" w14:textId="77777777" w:rsidR="00780588" w:rsidRDefault="00717A67" w:rsidP="00717A67">
      <w:pPr>
        <w:pStyle w:val="ListParagraph"/>
        <w:numPr>
          <w:ilvl w:val="0"/>
          <w:numId w:val="7"/>
        </w:numPr>
        <w:autoSpaceDE w:val="0"/>
        <w:autoSpaceDN w:val="0"/>
        <w:adjustRightInd w:val="0"/>
        <w:rPr>
          <w:rFonts w:cstheme="minorHAnsi"/>
          <w:color w:val="18191B"/>
        </w:rPr>
      </w:pPr>
      <w:r w:rsidRPr="00717A67">
        <w:rPr>
          <w:rFonts w:cstheme="minorHAnsi"/>
          <w:b/>
          <w:bCs/>
          <w:color w:val="18191B"/>
        </w:rPr>
        <w:t>Tumor immunotherapy</w:t>
      </w:r>
      <w:r w:rsidRPr="00717A67">
        <w:rPr>
          <w:rFonts w:cstheme="minorHAnsi"/>
          <w:color w:val="18191B"/>
        </w:rPr>
        <w:t xml:space="preserve"> </w:t>
      </w:r>
    </w:p>
    <w:p w14:paraId="42563702" w14:textId="7AE23E09" w:rsidR="00717A67" w:rsidRDefault="00717A67" w:rsidP="00780588">
      <w:pPr>
        <w:pStyle w:val="ListParagraph"/>
        <w:numPr>
          <w:ilvl w:val="1"/>
          <w:numId w:val="7"/>
        </w:numPr>
        <w:autoSpaceDE w:val="0"/>
        <w:autoSpaceDN w:val="0"/>
        <w:adjustRightInd w:val="0"/>
        <w:rPr>
          <w:rFonts w:cstheme="minorHAnsi"/>
          <w:color w:val="18191B"/>
        </w:rPr>
      </w:pPr>
      <w:r w:rsidRPr="00717A67">
        <w:rPr>
          <w:rFonts w:cstheme="minorHAnsi"/>
          <w:color w:val="18191B"/>
        </w:rPr>
        <w:t xml:space="preserve">aims to control tumor development by activating the immune system to attack tumor cells. </w:t>
      </w:r>
    </w:p>
    <w:p w14:paraId="03E22E72" w14:textId="008913C8" w:rsidR="00717A67" w:rsidRDefault="00717A67" w:rsidP="00717A67">
      <w:pPr>
        <w:pStyle w:val="ListParagraph"/>
        <w:numPr>
          <w:ilvl w:val="1"/>
          <w:numId w:val="7"/>
        </w:numPr>
        <w:autoSpaceDE w:val="0"/>
        <w:autoSpaceDN w:val="0"/>
        <w:adjustRightInd w:val="0"/>
        <w:rPr>
          <w:rFonts w:cstheme="minorHAnsi"/>
          <w:color w:val="18191B"/>
        </w:rPr>
      </w:pPr>
      <w:r w:rsidRPr="00717A67">
        <w:rPr>
          <w:rFonts w:cstheme="minorHAnsi"/>
          <w:color w:val="18191B"/>
        </w:rPr>
        <w:t>By selecting appropriate antigens, notably neoantigens produced by tumor-specific mutations, an effective tumor-specific immune response can be mounted, and immune tolerance can be minimized</w:t>
      </w:r>
      <w:r>
        <w:rPr>
          <w:rFonts w:cstheme="minorHAnsi"/>
          <w:color w:val="18191B"/>
          <w:lang w:val="fr-CH"/>
        </w:rPr>
        <w:t xml:space="preserve">. </w:t>
      </w:r>
      <w:r w:rsidRPr="00717A67">
        <w:rPr>
          <w:rFonts w:cstheme="minorHAnsi"/>
          <w:color w:val="18191B"/>
        </w:rPr>
        <w:t>Non-synonymous somatic mutations will produce altered peptides, among which, some are processed and presented by the major histocompatibility complex (MHC) in order to generate neoantigens. These molecules are the key factors required for successful immunotherapy, including immune checkpoint inhibitors (ICIs), personalized tumor vaccines and adoptive T cell transfer immunotherapy (</w:t>
      </w:r>
      <w:r w:rsidRPr="00717A67">
        <w:rPr>
          <w:rFonts w:cstheme="minorHAnsi"/>
          <w:color w:val="18191B"/>
        </w:rPr>
        <w:fldChar w:fldCharType="begin"/>
      </w:r>
      <w:r w:rsidRPr="00717A67">
        <w:rPr>
          <w:rFonts w:cstheme="minorHAnsi"/>
          <w:color w:val="18191B"/>
        </w:rPr>
        <w:instrText xml:space="preserve"> HYPERLINK "https://www.frontiersin.org/articles/10.3389/fonc.2021.672677/full" \l "B2" </w:instrText>
      </w:r>
      <w:r w:rsidRPr="00717A67">
        <w:rPr>
          <w:rFonts w:cstheme="minorHAnsi"/>
          <w:color w:val="18191B"/>
        </w:rPr>
        <w:fldChar w:fldCharType="separate"/>
      </w:r>
      <w:r w:rsidRPr="00717A67">
        <w:rPr>
          <w:rStyle w:val="Hyperlink"/>
          <w:rFonts w:cstheme="minorHAnsi"/>
        </w:rPr>
        <w:t>2</w:t>
      </w:r>
      <w:r w:rsidRPr="00717A67">
        <w:rPr>
          <w:rFonts w:cstheme="minorHAnsi"/>
          <w:color w:val="18191B"/>
        </w:rPr>
        <w:fldChar w:fldCharType="end"/>
      </w:r>
      <w:r w:rsidRPr="00717A67">
        <w:rPr>
          <w:rFonts w:cstheme="minorHAnsi"/>
          <w:color w:val="18191B"/>
        </w:rPr>
        <w:t>–</w:t>
      </w:r>
      <w:r w:rsidRPr="00717A67">
        <w:rPr>
          <w:rFonts w:cstheme="minorHAnsi"/>
          <w:color w:val="18191B"/>
        </w:rPr>
        <w:fldChar w:fldCharType="begin"/>
      </w:r>
      <w:r w:rsidRPr="00717A67">
        <w:rPr>
          <w:rFonts w:cstheme="minorHAnsi"/>
          <w:color w:val="18191B"/>
        </w:rPr>
        <w:instrText xml:space="preserve"> HYPERLINK "https://www.frontiersin.org/articles/10.3389/fonc.2021.672677/full" \l "B4" </w:instrText>
      </w:r>
      <w:r w:rsidRPr="00717A67">
        <w:rPr>
          <w:rFonts w:cstheme="minorHAnsi"/>
          <w:color w:val="18191B"/>
        </w:rPr>
        <w:fldChar w:fldCharType="separate"/>
      </w:r>
      <w:r w:rsidRPr="00717A67">
        <w:rPr>
          <w:rStyle w:val="Hyperlink"/>
          <w:rFonts w:cstheme="minorHAnsi"/>
        </w:rPr>
        <w:t>4</w:t>
      </w:r>
      <w:r w:rsidRPr="00717A67">
        <w:rPr>
          <w:rFonts w:cstheme="minorHAnsi"/>
          <w:color w:val="18191B"/>
        </w:rPr>
        <w:fldChar w:fldCharType="end"/>
      </w:r>
      <w:r w:rsidRPr="00717A67">
        <w:rPr>
          <w:rFonts w:cstheme="minorHAnsi"/>
          <w:color w:val="18191B"/>
        </w:rPr>
        <w:t>). These strategies have shown promise in the treatment of solid tumors </w:t>
      </w:r>
    </w:p>
    <w:p w14:paraId="25C8A125" w14:textId="15729AF8" w:rsidR="00717A67" w:rsidRDefault="00717A67" w:rsidP="00780588">
      <w:pPr>
        <w:pStyle w:val="ListParagraph"/>
        <w:numPr>
          <w:ilvl w:val="1"/>
          <w:numId w:val="7"/>
        </w:numPr>
        <w:autoSpaceDE w:val="0"/>
        <w:autoSpaceDN w:val="0"/>
        <w:adjustRightInd w:val="0"/>
        <w:rPr>
          <w:rFonts w:cstheme="minorHAnsi"/>
          <w:color w:val="18191B"/>
        </w:rPr>
      </w:pPr>
      <w:r w:rsidRPr="00717A67">
        <w:rPr>
          <w:rFonts w:cstheme="minorHAnsi"/>
          <w:color w:val="18191B"/>
        </w:rPr>
        <w:t>A higher number of DNA mutations are associated with higher number of candidate peptides, and results in an increased probability of successfully presented neoantigens (</w:t>
      </w:r>
      <w:r w:rsidRPr="00717A67">
        <w:rPr>
          <w:rFonts w:cstheme="minorHAnsi"/>
          <w:color w:val="18191B"/>
        </w:rPr>
        <w:fldChar w:fldCharType="begin"/>
      </w:r>
      <w:r w:rsidRPr="00717A67">
        <w:rPr>
          <w:rFonts w:cstheme="minorHAnsi"/>
          <w:color w:val="18191B"/>
        </w:rPr>
        <w:instrText xml:space="preserve"> HYPERLINK "https://www.frontiersin.org/articles/10.3389/fonc.2021.672677/full" \l "B8" </w:instrText>
      </w:r>
      <w:r w:rsidRPr="00717A67">
        <w:rPr>
          <w:rFonts w:cstheme="minorHAnsi"/>
          <w:color w:val="18191B"/>
        </w:rPr>
        <w:fldChar w:fldCharType="separate"/>
      </w:r>
      <w:r w:rsidRPr="00717A67">
        <w:rPr>
          <w:rStyle w:val="Hyperlink"/>
          <w:rFonts w:cstheme="minorHAnsi"/>
        </w:rPr>
        <w:t>8</w:t>
      </w:r>
      <w:r w:rsidRPr="00717A67">
        <w:rPr>
          <w:rFonts w:cstheme="minorHAnsi"/>
          <w:color w:val="18191B"/>
        </w:rPr>
        <w:fldChar w:fldCharType="end"/>
      </w:r>
      <w:r w:rsidRPr="00717A67">
        <w:rPr>
          <w:rFonts w:cstheme="minorHAnsi"/>
          <w:color w:val="18191B"/>
        </w:rPr>
        <w:t>). The response to immunotherapy correlates with tumor mutation burden (TMB) and mainly with the number of mutations in the coding region of the genome (exome) of the tumor cells.</w:t>
      </w:r>
    </w:p>
    <w:p w14:paraId="68AFC933" w14:textId="77777777" w:rsidR="00780588" w:rsidRPr="00780588" w:rsidRDefault="00780588" w:rsidP="00780588">
      <w:pPr>
        <w:pStyle w:val="ListParagraph"/>
        <w:autoSpaceDE w:val="0"/>
        <w:autoSpaceDN w:val="0"/>
        <w:adjustRightInd w:val="0"/>
        <w:ind w:left="1080"/>
        <w:rPr>
          <w:rFonts w:cstheme="minorHAnsi"/>
          <w:color w:val="18191B"/>
        </w:rPr>
      </w:pPr>
    </w:p>
    <w:p w14:paraId="570B6DB1" w14:textId="77777777" w:rsidR="00884111" w:rsidRPr="00884111" w:rsidRDefault="00884111" w:rsidP="00884111">
      <w:pPr>
        <w:pStyle w:val="ListParagraph"/>
        <w:numPr>
          <w:ilvl w:val="0"/>
          <w:numId w:val="7"/>
        </w:numPr>
        <w:autoSpaceDE w:val="0"/>
        <w:autoSpaceDN w:val="0"/>
        <w:adjustRightInd w:val="0"/>
        <w:rPr>
          <w:rFonts w:cstheme="minorHAnsi"/>
          <w:color w:val="18191B"/>
        </w:rPr>
      </w:pPr>
      <w:r>
        <w:rPr>
          <w:rFonts w:cstheme="minorHAnsi"/>
          <w:b/>
          <w:bCs/>
          <w:color w:val="18191B"/>
          <w:lang w:val="fr-CH"/>
        </w:rPr>
        <w:t xml:space="preserve">PFS - </w:t>
      </w:r>
      <w:r w:rsidRPr="00884111">
        <w:rPr>
          <w:rFonts w:cstheme="minorHAnsi"/>
          <w:b/>
          <w:bCs/>
          <w:color w:val="18191B"/>
        </w:rPr>
        <w:t>progression-free survival</w:t>
      </w:r>
    </w:p>
    <w:p w14:paraId="6EAA27CC" w14:textId="77777777" w:rsidR="00780588" w:rsidRDefault="00884111" w:rsidP="00884111">
      <w:pPr>
        <w:pStyle w:val="ListParagraph"/>
        <w:numPr>
          <w:ilvl w:val="1"/>
          <w:numId w:val="7"/>
        </w:numPr>
        <w:autoSpaceDE w:val="0"/>
        <w:autoSpaceDN w:val="0"/>
        <w:adjustRightInd w:val="0"/>
        <w:rPr>
          <w:rFonts w:cstheme="minorHAnsi"/>
          <w:color w:val="18191B"/>
        </w:rPr>
      </w:pPr>
      <w:r w:rsidRPr="00884111">
        <w:rPr>
          <w:rFonts w:cstheme="minorHAnsi"/>
          <w:color w:val="18191B"/>
        </w:rPr>
        <w:t>The length of time during and after the treatment of a disease, such as cancer, that a patient lives with the disease but it does not get worse. In a clinical trial, measuring the PFS is one way to see how well a new treatment works.</w:t>
      </w:r>
    </w:p>
    <w:p w14:paraId="20CEBD5A" w14:textId="3AC690B4" w:rsidR="00884111" w:rsidRPr="00884111" w:rsidRDefault="00884111" w:rsidP="00780588">
      <w:pPr>
        <w:pStyle w:val="ListParagraph"/>
        <w:autoSpaceDE w:val="0"/>
        <w:autoSpaceDN w:val="0"/>
        <w:adjustRightInd w:val="0"/>
        <w:ind w:left="1080"/>
        <w:rPr>
          <w:rFonts w:cstheme="minorHAnsi"/>
          <w:color w:val="18191B"/>
        </w:rPr>
      </w:pPr>
      <w:r w:rsidRPr="00884111">
        <w:rPr>
          <w:rFonts w:cstheme="minorHAnsi"/>
          <w:color w:val="18191B"/>
        </w:rPr>
        <w:t xml:space="preserve"> </w:t>
      </w:r>
    </w:p>
    <w:p w14:paraId="6350A5A7" w14:textId="7C1A8F7C" w:rsidR="00B9455A" w:rsidRDefault="00B9455A" w:rsidP="00B9455A">
      <w:pPr>
        <w:pStyle w:val="ListParagraph"/>
        <w:numPr>
          <w:ilvl w:val="0"/>
          <w:numId w:val="7"/>
        </w:numPr>
        <w:autoSpaceDE w:val="0"/>
        <w:autoSpaceDN w:val="0"/>
        <w:adjustRightInd w:val="0"/>
        <w:rPr>
          <w:rFonts w:cstheme="minorHAnsi"/>
          <w:b/>
          <w:bCs/>
          <w:color w:val="18191B"/>
        </w:rPr>
      </w:pPr>
      <w:r w:rsidRPr="00B9455A">
        <w:rPr>
          <w:rFonts w:cstheme="minorHAnsi"/>
          <w:b/>
          <w:bCs/>
          <w:color w:val="18191B"/>
        </w:rPr>
        <w:t>PD1, PD-L1</w:t>
      </w:r>
      <w:r w:rsidRPr="00B9455A">
        <w:rPr>
          <w:rFonts w:cstheme="minorHAnsi"/>
          <w:b/>
          <w:bCs/>
          <w:color w:val="18191B"/>
          <w:lang w:val="fr-CH"/>
        </w:rPr>
        <w:t xml:space="preserve"> - </w:t>
      </w:r>
      <w:r w:rsidRPr="00B9455A">
        <w:rPr>
          <w:rFonts w:cstheme="minorHAnsi"/>
          <w:b/>
          <w:bCs/>
          <w:color w:val="18191B"/>
        </w:rPr>
        <w:t>immune regulatory genes </w:t>
      </w:r>
    </w:p>
    <w:p w14:paraId="21FF8F5F" w14:textId="248B2CF4" w:rsidR="00D11BD6" w:rsidRDefault="00D11BD6" w:rsidP="00D11BD6">
      <w:pPr>
        <w:pStyle w:val="ListParagraph"/>
        <w:numPr>
          <w:ilvl w:val="1"/>
          <w:numId w:val="7"/>
        </w:numPr>
        <w:autoSpaceDE w:val="0"/>
        <w:autoSpaceDN w:val="0"/>
        <w:adjustRightInd w:val="0"/>
        <w:rPr>
          <w:rFonts w:cstheme="minorHAnsi"/>
          <w:b/>
          <w:bCs/>
          <w:color w:val="18191B"/>
        </w:rPr>
      </w:pPr>
      <w:hyperlink r:id="rId6" w:history="1">
        <w:r w:rsidRPr="00B375E3">
          <w:rPr>
            <w:rStyle w:val="Hyperlink"/>
            <w:rFonts w:cstheme="minorHAnsi"/>
            <w:b/>
            <w:bCs/>
          </w:rPr>
          <w:t>https://en.wikipedia.org/wiki/PD-L1</w:t>
        </w:r>
      </w:hyperlink>
    </w:p>
    <w:p w14:paraId="6BA615F8" w14:textId="40207CE7" w:rsidR="00D11BD6" w:rsidRDefault="00D11BD6" w:rsidP="00D11BD6">
      <w:pPr>
        <w:pStyle w:val="ListParagraph"/>
        <w:numPr>
          <w:ilvl w:val="1"/>
          <w:numId w:val="7"/>
        </w:numPr>
        <w:autoSpaceDE w:val="0"/>
        <w:autoSpaceDN w:val="0"/>
        <w:adjustRightInd w:val="0"/>
        <w:rPr>
          <w:rFonts w:cstheme="minorHAnsi"/>
          <w:color w:val="18191B"/>
        </w:rPr>
      </w:pPr>
      <w:r w:rsidRPr="00D11BD6">
        <w:rPr>
          <w:rFonts w:cstheme="minorHAnsi"/>
          <w:color w:val="18191B"/>
        </w:rPr>
        <w:t>Programmed death-ligand 1 (PD-L1) is a 40kDa type 1 transmembrane protein that has been speculated to play a major role in suppressing the adaptive arm of immune systems during particular events such as pregnancy, tissue allografts, autoimmune disease and other disease states such as hepatitis.</w:t>
      </w:r>
    </w:p>
    <w:p w14:paraId="39647D17" w14:textId="07E2A223" w:rsidR="00D11BD6" w:rsidRPr="00D11BD6" w:rsidRDefault="00D11BD6" w:rsidP="00D11BD6">
      <w:pPr>
        <w:pStyle w:val="ListParagraph"/>
        <w:numPr>
          <w:ilvl w:val="1"/>
          <w:numId w:val="7"/>
        </w:numPr>
        <w:autoSpaceDE w:val="0"/>
        <w:autoSpaceDN w:val="0"/>
        <w:adjustRightInd w:val="0"/>
        <w:rPr>
          <w:rFonts w:cstheme="minorHAnsi"/>
          <w:color w:val="18191B"/>
        </w:rPr>
      </w:pPr>
      <w:r>
        <w:rPr>
          <w:rFonts w:cstheme="minorHAnsi"/>
          <w:color w:val="18191B"/>
          <w:lang w:val="fr-CH"/>
        </w:rPr>
        <w:t xml:space="preserve">PD-L1 and </w:t>
      </w:r>
      <w:proofErr w:type="spellStart"/>
      <w:r>
        <w:rPr>
          <w:rFonts w:cstheme="minorHAnsi"/>
          <w:color w:val="18191B"/>
          <w:lang w:val="fr-CH"/>
        </w:rPr>
        <w:t>immunotherapy</w:t>
      </w:r>
      <w:proofErr w:type="spellEnd"/>
      <w:r>
        <w:rPr>
          <w:rFonts w:cstheme="minorHAnsi"/>
          <w:color w:val="18191B"/>
          <w:lang w:val="fr-CH"/>
        </w:rPr>
        <w:t> :</w:t>
      </w:r>
    </w:p>
    <w:p w14:paraId="1C72DF00" w14:textId="54BBB5A7" w:rsidR="00D11BD6" w:rsidRDefault="00D11BD6" w:rsidP="00D11BD6">
      <w:pPr>
        <w:pStyle w:val="ListParagraph"/>
        <w:numPr>
          <w:ilvl w:val="2"/>
          <w:numId w:val="7"/>
        </w:numPr>
        <w:autoSpaceDE w:val="0"/>
        <w:autoSpaceDN w:val="0"/>
        <w:adjustRightInd w:val="0"/>
        <w:rPr>
          <w:rFonts w:cstheme="minorHAnsi"/>
          <w:color w:val="18191B"/>
        </w:rPr>
      </w:pPr>
      <w:hyperlink r:id="rId7" w:history="1">
        <w:r w:rsidRPr="00B375E3">
          <w:rPr>
            <w:rStyle w:val="Hyperlink"/>
            <w:rFonts w:cstheme="minorHAnsi"/>
          </w:rPr>
          <w:t>https://www.abcam.com/cancer/cancer-immunotherapy-and-the-pd1pdl1-pathway</w:t>
        </w:r>
      </w:hyperlink>
    </w:p>
    <w:p w14:paraId="4087E352" w14:textId="77777777" w:rsidR="00D11BD6" w:rsidRPr="00D11BD6" w:rsidRDefault="00D11BD6" w:rsidP="00D11BD6">
      <w:pPr>
        <w:pStyle w:val="ListParagraph"/>
        <w:numPr>
          <w:ilvl w:val="2"/>
          <w:numId w:val="7"/>
        </w:numPr>
        <w:autoSpaceDE w:val="0"/>
        <w:autoSpaceDN w:val="0"/>
        <w:adjustRightInd w:val="0"/>
        <w:rPr>
          <w:rFonts w:cstheme="minorHAnsi"/>
          <w:color w:val="18191B"/>
        </w:rPr>
      </w:pPr>
    </w:p>
    <w:p w14:paraId="6A2CC6C6" w14:textId="5B2959A8" w:rsidR="00717A67" w:rsidRPr="00780588" w:rsidRDefault="00780588" w:rsidP="00780588">
      <w:pPr>
        <w:pStyle w:val="ListParagraph"/>
        <w:autoSpaceDE w:val="0"/>
        <w:autoSpaceDN w:val="0"/>
        <w:adjustRightInd w:val="0"/>
        <w:ind w:left="1440"/>
        <w:rPr>
          <w:rFonts w:cstheme="minorHAnsi"/>
          <w:color w:val="18191B"/>
          <w:lang w:val="fr-CH"/>
        </w:rPr>
      </w:pPr>
      <w:r>
        <w:rPr>
          <w:rFonts w:cstheme="minorHAnsi"/>
          <w:color w:val="18191B"/>
          <w:lang w:val="fr-CH"/>
        </w:rPr>
        <w:t xml:space="preserve">SEE </w:t>
      </w:r>
      <w:r w:rsidR="00DB31FD">
        <w:rPr>
          <w:rFonts w:cstheme="minorHAnsi"/>
          <w:color w:val="18191B"/>
          <w:lang w:val="fr-CH"/>
        </w:rPr>
        <w:t xml:space="preserve">MY NOTES BELOW – more info </w:t>
      </w:r>
      <w:proofErr w:type="spellStart"/>
      <w:r w:rsidR="00DB31FD">
        <w:rPr>
          <w:rFonts w:cstheme="minorHAnsi"/>
          <w:color w:val="18191B"/>
          <w:lang w:val="fr-CH"/>
        </w:rPr>
        <w:t>there</w:t>
      </w:r>
      <w:proofErr w:type="spellEnd"/>
      <w:r w:rsidR="00DB31FD">
        <w:rPr>
          <w:rFonts w:cstheme="minorHAnsi"/>
          <w:color w:val="18191B"/>
          <w:lang w:val="fr-CH"/>
        </w:rPr>
        <w:t xml:space="preserve">, </w:t>
      </w:r>
    </w:p>
    <w:p w14:paraId="7FC41C48" w14:textId="77777777" w:rsidR="006147B6" w:rsidRPr="006147B6" w:rsidRDefault="006147B6" w:rsidP="006147B6">
      <w:pPr>
        <w:autoSpaceDE w:val="0"/>
        <w:autoSpaceDN w:val="0"/>
        <w:adjustRightInd w:val="0"/>
        <w:rPr>
          <w:rFonts w:cstheme="minorHAnsi"/>
          <w:color w:val="18191B"/>
          <w:lang w:val="en-GB"/>
        </w:rPr>
      </w:pPr>
    </w:p>
    <w:p w14:paraId="5BFCC59F" w14:textId="77777777" w:rsidR="004C5EAA" w:rsidRDefault="004C5EAA" w:rsidP="00AB0C51">
      <w:pPr>
        <w:pBdr>
          <w:bottom w:val="single" w:sz="4" w:space="1" w:color="auto"/>
        </w:pBdr>
        <w:shd w:val="clear" w:color="auto" w:fill="FFF2CC" w:themeFill="accent4" w:themeFillTint="33"/>
        <w:autoSpaceDE w:val="0"/>
        <w:autoSpaceDN w:val="0"/>
        <w:adjustRightInd w:val="0"/>
        <w:rPr>
          <w:rFonts w:asciiTheme="minorHAnsi" w:hAnsiTheme="minorHAnsi" w:cstheme="minorHAnsi"/>
          <w:b/>
          <w:bCs/>
          <w:color w:val="18191B"/>
          <w:sz w:val="28"/>
          <w:szCs w:val="28"/>
          <w:lang w:val="en-GB"/>
        </w:rPr>
        <w:sectPr w:rsidR="004C5EAA" w:rsidSect="00AB0C51">
          <w:pgSz w:w="12240" w:h="15840"/>
          <w:pgMar w:top="720" w:right="720" w:bottom="720" w:left="720" w:header="720" w:footer="720" w:gutter="0"/>
          <w:cols w:space="720"/>
          <w:noEndnote/>
          <w:docGrid w:linePitch="326"/>
        </w:sectPr>
      </w:pPr>
    </w:p>
    <w:p w14:paraId="22281C4E" w14:textId="6E4F0D4D" w:rsidR="00AB0C51" w:rsidRPr="00C66F7B" w:rsidRDefault="00AB0C51" w:rsidP="00AB0C51">
      <w:pPr>
        <w:pBdr>
          <w:bottom w:val="single" w:sz="4" w:space="1" w:color="auto"/>
        </w:pBdr>
        <w:shd w:val="clear" w:color="auto" w:fill="FFF2CC" w:themeFill="accent4" w:themeFillTint="33"/>
        <w:autoSpaceDE w:val="0"/>
        <w:autoSpaceDN w:val="0"/>
        <w:adjustRightInd w:val="0"/>
        <w:rPr>
          <w:rFonts w:asciiTheme="minorHAnsi" w:hAnsiTheme="minorHAnsi" w:cstheme="minorHAnsi"/>
          <w:color w:val="18191B"/>
          <w:sz w:val="28"/>
          <w:szCs w:val="28"/>
          <w:lang w:val="en-GB"/>
        </w:rPr>
      </w:pPr>
      <w:r w:rsidRPr="00C66F7B">
        <w:rPr>
          <w:rFonts w:asciiTheme="minorHAnsi" w:hAnsiTheme="minorHAnsi" w:cstheme="minorHAnsi"/>
          <w:b/>
          <w:bCs/>
          <w:color w:val="18191B"/>
          <w:sz w:val="28"/>
          <w:szCs w:val="28"/>
          <w:lang w:val="en-GB"/>
        </w:rPr>
        <w:lastRenderedPageBreak/>
        <w:t>ECOG Performance Status Scale</w:t>
      </w:r>
    </w:p>
    <w:p w14:paraId="77D2B054" w14:textId="7BDFC2E1" w:rsidR="00AB0C51" w:rsidRPr="00AB0C51" w:rsidRDefault="00AB0C51" w:rsidP="00AB0C51">
      <w:pPr>
        <w:pStyle w:val="ListParagraph"/>
        <w:numPr>
          <w:ilvl w:val="0"/>
          <w:numId w:val="4"/>
        </w:numPr>
        <w:autoSpaceDE w:val="0"/>
        <w:autoSpaceDN w:val="0"/>
        <w:adjustRightInd w:val="0"/>
        <w:rPr>
          <w:rFonts w:cstheme="minorHAnsi"/>
          <w:lang w:val="en-GB"/>
        </w:rPr>
      </w:pPr>
      <w:r w:rsidRPr="00AB0C51">
        <w:rPr>
          <w:rFonts w:cstheme="minorHAnsi"/>
          <w:lang w:val="en-GB"/>
        </w:rPr>
        <w:t>describes a patient’s level of functioning in terms of their ability to care for them self, daily activity, and physical ability (walking, working, etc.).</w:t>
      </w:r>
    </w:p>
    <w:p w14:paraId="68C3781B" w14:textId="4474CEFF" w:rsidR="00AB0C51" w:rsidRPr="00AB0C51" w:rsidRDefault="00AB0C51" w:rsidP="00AB0C51">
      <w:pPr>
        <w:pStyle w:val="ListParagraph"/>
        <w:numPr>
          <w:ilvl w:val="0"/>
          <w:numId w:val="4"/>
        </w:numPr>
        <w:autoSpaceDE w:val="0"/>
        <w:autoSpaceDN w:val="0"/>
        <w:adjustRightInd w:val="0"/>
        <w:rPr>
          <w:rFonts w:cstheme="minorHAnsi"/>
          <w:lang w:val="en-GB"/>
        </w:rPr>
      </w:pPr>
      <w:r w:rsidRPr="00AB0C51">
        <w:rPr>
          <w:rFonts w:cstheme="minorHAnsi"/>
          <w:lang w:val="en-GB"/>
        </w:rPr>
        <w:t xml:space="preserve">scale 0-5, </w:t>
      </w:r>
    </w:p>
    <w:p w14:paraId="2DE38BBC" w14:textId="7784DC7C" w:rsidR="00AB0C51" w:rsidRPr="00AB0C51" w:rsidRDefault="00AB0C51" w:rsidP="00AB0C51">
      <w:pPr>
        <w:pStyle w:val="ListParagraph"/>
        <w:numPr>
          <w:ilvl w:val="0"/>
          <w:numId w:val="4"/>
        </w:numPr>
        <w:autoSpaceDE w:val="0"/>
        <w:autoSpaceDN w:val="0"/>
        <w:adjustRightInd w:val="0"/>
        <w:rPr>
          <w:rFonts w:cstheme="minorHAnsi"/>
          <w:color w:val="18191B"/>
          <w:lang w:val="en-GB"/>
        </w:rPr>
      </w:pPr>
      <w:r w:rsidRPr="00AB0C51">
        <w:rPr>
          <w:rFonts w:cstheme="minorHAnsi"/>
          <w:lang w:val="en-GB"/>
        </w:rPr>
        <w:t xml:space="preserve">alternatives: </w:t>
      </w:r>
      <w:r w:rsidRPr="00AB0C51">
        <w:rPr>
          <w:rFonts w:cstheme="minorHAnsi"/>
          <w:b/>
          <w:bCs/>
          <w:color w:val="343434"/>
          <w:lang w:val="en-GB"/>
        </w:rPr>
        <w:t>KARNOFSKY PERFORMANCE STATUS</w:t>
      </w:r>
    </w:p>
    <w:p w14:paraId="0D7482AB" w14:textId="61C15F00" w:rsidR="00AB0C51" w:rsidRPr="00AB0C51" w:rsidRDefault="00AB0C51" w:rsidP="00AB0C51">
      <w:pPr>
        <w:pStyle w:val="ListParagraph"/>
        <w:numPr>
          <w:ilvl w:val="0"/>
          <w:numId w:val="4"/>
        </w:numPr>
        <w:autoSpaceDE w:val="0"/>
        <w:autoSpaceDN w:val="0"/>
        <w:adjustRightInd w:val="0"/>
        <w:rPr>
          <w:rFonts w:cstheme="minorHAnsi"/>
          <w:kern w:val="1"/>
          <w:lang w:val="en-GB"/>
        </w:rPr>
      </w:pPr>
      <w:r w:rsidRPr="00AB0C51">
        <w:rPr>
          <w:rFonts w:cstheme="minorHAnsi"/>
          <w:color w:val="18191B"/>
          <w:lang w:val="en-GB"/>
        </w:rPr>
        <w:t>https://ecog-acrin.org/resources/ecog-performance-status/</w:t>
      </w:r>
    </w:p>
    <w:p w14:paraId="49C585A7" w14:textId="3362F6FA" w:rsidR="00AB0C51" w:rsidRPr="00AB0C51" w:rsidRDefault="00AB0C51" w:rsidP="00AB0C51">
      <w:pPr>
        <w:autoSpaceDE w:val="0"/>
        <w:autoSpaceDN w:val="0"/>
        <w:adjustRightInd w:val="0"/>
        <w:rPr>
          <w:rFonts w:asciiTheme="minorHAnsi" w:hAnsiTheme="minorHAnsi" w:cstheme="minorHAnsi"/>
          <w:kern w:val="1"/>
          <w:lang w:val="en-GB"/>
        </w:rPr>
      </w:pPr>
      <w:r w:rsidRPr="00AB0C51">
        <w:rPr>
          <w:rFonts w:asciiTheme="minorHAnsi" w:hAnsiTheme="minorHAnsi" w:cstheme="minorHAnsi"/>
          <w:noProof/>
          <w:kern w:val="1"/>
          <w:lang w:val="en-GB"/>
        </w:rPr>
        <w:drawing>
          <wp:anchor distT="0" distB="0" distL="114300" distR="114300" simplePos="0" relativeHeight="251658240" behindDoc="0" locked="0" layoutInCell="1" allowOverlap="1" wp14:anchorId="690F9BD0" wp14:editId="3F8E61CC">
            <wp:simplePos x="0" y="0"/>
            <wp:positionH relativeFrom="column">
              <wp:posOffset>564776</wp:posOffset>
            </wp:positionH>
            <wp:positionV relativeFrom="paragraph">
              <wp:posOffset>72241</wp:posOffset>
            </wp:positionV>
            <wp:extent cx="4694826" cy="2998694"/>
            <wp:effectExtent l="0" t="0" r="4445" b="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6077" cy="3005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545F7" w14:textId="3805FB06" w:rsidR="00AB0C51" w:rsidRPr="00AB0C51" w:rsidRDefault="00AB0C51" w:rsidP="00AB0C51">
      <w:pPr>
        <w:autoSpaceDE w:val="0"/>
        <w:autoSpaceDN w:val="0"/>
        <w:adjustRightInd w:val="0"/>
        <w:rPr>
          <w:rFonts w:asciiTheme="minorHAnsi" w:hAnsiTheme="minorHAnsi" w:cstheme="minorHAnsi"/>
          <w:kern w:val="1"/>
          <w:lang w:val="en-GB"/>
        </w:rPr>
      </w:pPr>
    </w:p>
    <w:p w14:paraId="1479D698" w14:textId="2A31F230" w:rsidR="00AB0C51" w:rsidRPr="00AB0C51" w:rsidRDefault="00AB0C51" w:rsidP="00AB0C51">
      <w:pPr>
        <w:autoSpaceDE w:val="0"/>
        <w:autoSpaceDN w:val="0"/>
        <w:adjustRightInd w:val="0"/>
        <w:rPr>
          <w:rFonts w:asciiTheme="minorHAnsi" w:hAnsiTheme="minorHAnsi" w:cstheme="minorHAnsi"/>
          <w:kern w:val="1"/>
          <w:lang w:val="en-GB"/>
        </w:rPr>
      </w:pPr>
    </w:p>
    <w:p w14:paraId="075E14D8" w14:textId="7614EF97" w:rsidR="00AB0C51" w:rsidRPr="00AB0C51" w:rsidRDefault="00AB0C51" w:rsidP="00AB0C51">
      <w:pPr>
        <w:autoSpaceDE w:val="0"/>
        <w:autoSpaceDN w:val="0"/>
        <w:adjustRightInd w:val="0"/>
        <w:rPr>
          <w:rFonts w:asciiTheme="minorHAnsi" w:hAnsiTheme="minorHAnsi" w:cstheme="minorHAnsi"/>
          <w:kern w:val="1"/>
          <w:lang w:val="en-GB"/>
        </w:rPr>
      </w:pPr>
    </w:p>
    <w:p w14:paraId="1C387590" w14:textId="1C450B4B" w:rsidR="00AB0C51" w:rsidRPr="00AB0C51" w:rsidRDefault="00AB0C51" w:rsidP="00AB0C51">
      <w:pPr>
        <w:autoSpaceDE w:val="0"/>
        <w:autoSpaceDN w:val="0"/>
        <w:adjustRightInd w:val="0"/>
        <w:rPr>
          <w:rFonts w:asciiTheme="minorHAnsi" w:hAnsiTheme="minorHAnsi" w:cstheme="minorHAnsi"/>
          <w:kern w:val="1"/>
          <w:lang w:val="en-GB"/>
        </w:rPr>
      </w:pPr>
    </w:p>
    <w:p w14:paraId="1FCEFD36" w14:textId="62D4C699" w:rsidR="00AB0C51" w:rsidRPr="00AB0C51" w:rsidRDefault="00AB0C51" w:rsidP="00AB0C51">
      <w:pPr>
        <w:autoSpaceDE w:val="0"/>
        <w:autoSpaceDN w:val="0"/>
        <w:adjustRightInd w:val="0"/>
        <w:rPr>
          <w:rFonts w:asciiTheme="minorHAnsi" w:hAnsiTheme="minorHAnsi" w:cstheme="minorHAnsi"/>
          <w:kern w:val="1"/>
          <w:lang w:val="en-GB"/>
        </w:rPr>
      </w:pPr>
    </w:p>
    <w:p w14:paraId="17D3CE73" w14:textId="33A3D6B6" w:rsidR="00AB0C51" w:rsidRPr="00AB0C51" w:rsidRDefault="00AB0C51" w:rsidP="00AB0C51">
      <w:pPr>
        <w:autoSpaceDE w:val="0"/>
        <w:autoSpaceDN w:val="0"/>
        <w:adjustRightInd w:val="0"/>
        <w:rPr>
          <w:rFonts w:asciiTheme="minorHAnsi" w:hAnsiTheme="minorHAnsi" w:cstheme="minorHAnsi"/>
          <w:kern w:val="1"/>
          <w:lang w:val="en-GB"/>
        </w:rPr>
      </w:pPr>
    </w:p>
    <w:p w14:paraId="2F70E227" w14:textId="18A0CA70" w:rsidR="00AB0C51" w:rsidRPr="00AB0C51" w:rsidRDefault="00AB0C51" w:rsidP="00AB0C51">
      <w:pPr>
        <w:autoSpaceDE w:val="0"/>
        <w:autoSpaceDN w:val="0"/>
        <w:adjustRightInd w:val="0"/>
        <w:rPr>
          <w:rFonts w:asciiTheme="minorHAnsi" w:hAnsiTheme="minorHAnsi" w:cstheme="minorHAnsi"/>
          <w:kern w:val="1"/>
          <w:lang w:val="en-GB"/>
        </w:rPr>
      </w:pPr>
    </w:p>
    <w:p w14:paraId="6B82DD1D" w14:textId="166984BE" w:rsidR="00AB0C51" w:rsidRPr="00AB0C51" w:rsidRDefault="00AB0C51" w:rsidP="00AB0C51">
      <w:pPr>
        <w:autoSpaceDE w:val="0"/>
        <w:autoSpaceDN w:val="0"/>
        <w:adjustRightInd w:val="0"/>
        <w:rPr>
          <w:rFonts w:asciiTheme="minorHAnsi" w:hAnsiTheme="minorHAnsi" w:cstheme="minorHAnsi"/>
          <w:kern w:val="1"/>
          <w:lang w:val="en-GB"/>
        </w:rPr>
      </w:pPr>
    </w:p>
    <w:p w14:paraId="69163361" w14:textId="13BDFF96" w:rsidR="00AB0C51" w:rsidRPr="00AB0C51" w:rsidRDefault="00AB0C51" w:rsidP="00AB0C51">
      <w:pPr>
        <w:autoSpaceDE w:val="0"/>
        <w:autoSpaceDN w:val="0"/>
        <w:adjustRightInd w:val="0"/>
        <w:rPr>
          <w:rFonts w:asciiTheme="minorHAnsi" w:hAnsiTheme="minorHAnsi" w:cstheme="minorHAnsi"/>
          <w:kern w:val="1"/>
          <w:lang w:val="en-GB"/>
        </w:rPr>
      </w:pPr>
    </w:p>
    <w:p w14:paraId="7B02CDD1" w14:textId="359ED133" w:rsidR="00AB0C51" w:rsidRPr="00AB0C51" w:rsidRDefault="00AB0C51" w:rsidP="00AB0C51">
      <w:pPr>
        <w:autoSpaceDE w:val="0"/>
        <w:autoSpaceDN w:val="0"/>
        <w:adjustRightInd w:val="0"/>
        <w:rPr>
          <w:rFonts w:asciiTheme="minorHAnsi" w:hAnsiTheme="minorHAnsi" w:cstheme="minorHAnsi"/>
          <w:kern w:val="1"/>
          <w:lang w:val="en-GB"/>
        </w:rPr>
      </w:pPr>
    </w:p>
    <w:p w14:paraId="28CC5830" w14:textId="425FE7EE" w:rsidR="00AB0C51" w:rsidRPr="00AB0C51" w:rsidRDefault="00AB0C51" w:rsidP="00AB0C51">
      <w:pPr>
        <w:autoSpaceDE w:val="0"/>
        <w:autoSpaceDN w:val="0"/>
        <w:adjustRightInd w:val="0"/>
        <w:rPr>
          <w:rFonts w:asciiTheme="minorHAnsi" w:hAnsiTheme="minorHAnsi" w:cstheme="minorHAnsi"/>
          <w:kern w:val="1"/>
          <w:lang w:val="en-GB"/>
        </w:rPr>
      </w:pPr>
    </w:p>
    <w:p w14:paraId="74515BAA" w14:textId="77777777" w:rsidR="00AB0C51" w:rsidRPr="00AB0C51" w:rsidRDefault="00AB0C51" w:rsidP="00AB0C51">
      <w:pPr>
        <w:autoSpaceDE w:val="0"/>
        <w:autoSpaceDN w:val="0"/>
        <w:adjustRightInd w:val="0"/>
        <w:rPr>
          <w:rFonts w:asciiTheme="minorHAnsi" w:hAnsiTheme="minorHAnsi" w:cstheme="minorHAnsi"/>
          <w:kern w:val="1"/>
          <w:lang w:val="en-GB"/>
        </w:rPr>
      </w:pPr>
    </w:p>
    <w:p w14:paraId="2EFA7DC3" w14:textId="5AB77861" w:rsidR="00AB0C51" w:rsidRPr="00AB0C51" w:rsidRDefault="00AB0C51" w:rsidP="00AB0C51">
      <w:pPr>
        <w:autoSpaceDE w:val="0"/>
        <w:autoSpaceDN w:val="0"/>
        <w:adjustRightInd w:val="0"/>
        <w:rPr>
          <w:rFonts w:asciiTheme="minorHAnsi" w:hAnsiTheme="minorHAnsi" w:cstheme="minorHAnsi"/>
          <w:kern w:val="1"/>
          <w:lang w:val="en-GB"/>
        </w:rPr>
      </w:pPr>
    </w:p>
    <w:p w14:paraId="4B921993" w14:textId="3EEBEB4D" w:rsidR="00AB0C51" w:rsidRPr="00AB0C51" w:rsidRDefault="00AB0C51" w:rsidP="00AB0C51">
      <w:pPr>
        <w:autoSpaceDE w:val="0"/>
        <w:autoSpaceDN w:val="0"/>
        <w:adjustRightInd w:val="0"/>
        <w:rPr>
          <w:rFonts w:asciiTheme="minorHAnsi" w:hAnsiTheme="minorHAnsi" w:cstheme="minorHAnsi"/>
          <w:kern w:val="1"/>
          <w:lang w:val="en-GB"/>
        </w:rPr>
      </w:pPr>
    </w:p>
    <w:p w14:paraId="7BAECD13" w14:textId="7BFE4583" w:rsidR="00AB0C51" w:rsidRPr="00AB0C51" w:rsidRDefault="00AB0C51" w:rsidP="00AB0C51">
      <w:pPr>
        <w:autoSpaceDE w:val="0"/>
        <w:autoSpaceDN w:val="0"/>
        <w:adjustRightInd w:val="0"/>
        <w:rPr>
          <w:rFonts w:asciiTheme="minorHAnsi" w:hAnsiTheme="minorHAnsi" w:cstheme="minorHAnsi"/>
          <w:kern w:val="1"/>
          <w:lang w:val="en-GB"/>
        </w:rPr>
      </w:pPr>
    </w:p>
    <w:p w14:paraId="24FAA0BA" w14:textId="16927E06" w:rsidR="00375775" w:rsidRDefault="00375775" w:rsidP="00AB0C51">
      <w:pPr>
        <w:autoSpaceDE w:val="0"/>
        <w:autoSpaceDN w:val="0"/>
        <w:adjustRightInd w:val="0"/>
        <w:rPr>
          <w:rFonts w:asciiTheme="minorHAnsi" w:hAnsiTheme="minorHAnsi" w:cstheme="minorHAnsi"/>
          <w:kern w:val="1"/>
          <w:lang w:val="en-GB"/>
        </w:rPr>
      </w:pPr>
    </w:p>
    <w:p w14:paraId="0CF95E16" w14:textId="559B246B" w:rsidR="004C5EAA" w:rsidRDefault="004C5EAA" w:rsidP="00AB0C51">
      <w:pPr>
        <w:autoSpaceDE w:val="0"/>
        <w:autoSpaceDN w:val="0"/>
        <w:adjustRightInd w:val="0"/>
        <w:rPr>
          <w:rFonts w:asciiTheme="minorHAnsi" w:hAnsiTheme="minorHAnsi" w:cstheme="minorHAnsi"/>
          <w:kern w:val="1"/>
          <w:lang w:val="en-GB"/>
        </w:rPr>
      </w:pPr>
    </w:p>
    <w:p w14:paraId="3BD10014" w14:textId="77777777" w:rsidR="004C5EAA" w:rsidRPr="00AB0C51" w:rsidRDefault="004C5EAA" w:rsidP="00AB0C51">
      <w:pPr>
        <w:autoSpaceDE w:val="0"/>
        <w:autoSpaceDN w:val="0"/>
        <w:adjustRightInd w:val="0"/>
        <w:rPr>
          <w:rFonts w:asciiTheme="minorHAnsi" w:hAnsiTheme="minorHAnsi" w:cstheme="minorHAnsi"/>
          <w:kern w:val="1"/>
          <w:lang w:val="en-GB"/>
        </w:rPr>
      </w:pPr>
    </w:p>
    <w:p w14:paraId="02B4E2B6" w14:textId="7BE4813E" w:rsidR="00AB0C51" w:rsidRPr="00C66F7B" w:rsidRDefault="00AB0C51" w:rsidP="00C66F7B">
      <w:pPr>
        <w:pBdr>
          <w:bottom w:val="single" w:sz="4" w:space="1" w:color="auto"/>
        </w:pBdr>
        <w:shd w:val="clear" w:color="auto" w:fill="FFF2CC" w:themeFill="accent4" w:themeFillTint="33"/>
        <w:autoSpaceDE w:val="0"/>
        <w:autoSpaceDN w:val="0"/>
        <w:adjustRightInd w:val="0"/>
        <w:rPr>
          <w:rFonts w:cstheme="minorHAnsi"/>
          <w:b/>
          <w:bCs/>
          <w:color w:val="000000"/>
          <w:sz w:val="28"/>
          <w:szCs w:val="28"/>
          <w:lang w:val="en-GB"/>
        </w:rPr>
      </w:pPr>
      <w:r w:rsidRPr="00C66F7B">
        <w:rPr>
          <w:rFonts w:asciiTheme="minorHAnsi" w:hAnsiTheme="minorHAnsi" w:cstheme="minorHAnsi"/>
          <w:b/>
          <w:bCs/>
          <w:color w:val="000000"/>
          <w:sz w:val="28"/>
          <w:szCs w:val="28"/>
          <w:lang w:val="en-GB"/>
        </w:rPr>
        <w:t>FMO</w:t>
      </w:r>
      <w:r w:rsidR="006147B6">
        <w:rPr>
          <w:rFonts w:cstheme="minorHAnsi"/>
          <w:b/>
          <w:bCs/>
          <w:color w:val="000000"/>
          <w:sz w:val="28"/>
          <w:szCs w:val="28"/>
          <w:lang w:val="en-GB"/>
        </w:rPr>
        <w:t xml:space="preserve"> </w:t>
      </w:r>
      <w:r w:rsidRPr="00C66F7B">
        <w:rPr>
          <w:rFonts w:asciiTheme="minorHAnsi" w:hAnsiTheme="minorHAnsi" w:cstheme="minorHAnsi"/>
          <w:b/>
          <w:bCs/>
          <w:color w:val="000000"/>
          <w:sz w:val="28"/>
          <w:szCs w:val="28"/>
          <w:lang w:val="en-GB"/>
        </w:rPr>
        <w:t>ne mutation burden per MB</w:t>
      </w:r>
    </w:p>
    <w:p w14:paraId="457C834D" w14:textId="1B1061E8" w:rsidR="00375775" w:rsidRDefault="006147B6" w:rsidP="00375775">
      <w:pPr>
        <w:pStyle w:val="ListParagraph"/>
        <w:numPr>
          <w:ilvl w:val="0"/>
          <w:numId w:val="6"/>
        </w:numPr>
        <w:autoSpaceDE w:val="0"/>
        <w:autoSpaceDN w:val="0"/>
        <w:adjustRightInd w:val="0"/>
        <w:spacing w:before="120"/>
        <w:rPr>
          <w:rFonts w:cstheme="minorHAnsi"/>
          <w:color w:val="262626"/>
          <w:lang w:val="pl"/>
        </w:rPr>
      </w:pPr>
      <w:r w:rsidRPr="006147B6">
        <w:rPr>
          <w:rFonts w:cstheme="minorHAnsi"/>
          <w:b/>
          <w:bCs/>
          <w:color w:val="262626"/>
          <w:lang w:val="pl"/>
        </w:rPr>
        <w:t>'</w:t>
      </w:r>
      <w:proofErr w:type="spellStart"/>
      <w:r w:rsidRPr="006147B6">
        <w:rPr>
          <w:rFonts w:cstheme="minorHAnsi"/>
          <w:b/>
          <w:bCs/>
          <w:color w:val="262626"/>
          <w:lang w:val="pl"/>
        </w:rPr>
        <w:t>FMOne</w:t>
      </w:r>
      <w:proofErr w:type="spellEnd"/>
      <w:r w:rsidRPr="006147B6">
        <w:rPr>
          <w:rFonts w:cstheme="minorHAnsi"/>
          <w:b/>
          <w:bCs/>
          <w:color w:val="262626"/>
          <w:lang w:val="pl"/>
        </w:rPr>
        <w:t xml:space="preserve"> </w:t>
      </w:r>
      <w:proofErr w:type="spellStart"/>
      <w:r w:rsidRPr="006147B6">
        <w:rPr>
          <w:rFonts w:cstheme="minorHAnsi"/>
          <w:b/>
          <w:bCs/>
          <w:color w:val="262626"/>
          <w:lang w:val="pl"/>
        </w:rPr>
        <w:t>mutation</w:t>
      </w:r>
      <w:proofErr w:type="spellEnd"/>
      <w:r w:rsidRPr="006147B6">
        <w:rPr>
          <w:rFonts w:cstheme="minorHAnsi"/>
          <w:b/>
          <w:bCs/>
          <w:color w:val="262626"/>
          <w:lang w:val="pl"/>
        </w:rPr>
        <w:t xml:space="preserve"> </w:t>
      </w:r>
      <w:proofErr w:type="spellStart"/>
      <w:r w:rsidRPr="006147B6">
        <w:rPr>
          <w:rFonts w:cstheme="minorHAnsi"/>
          <w:b/>
          <w:bCs/>
          <w:color w:val="262626"/>
          <w:lang w:val="pl"/>
        </w:rPr>
        <w:t>burden</w:t>
      </w:r>
      <w:proofErr w:type="spellEnd"/>
      <w:r w:rsidRPr="006147B6">
        <w:rPr>
          <w:rFonts w:cstheme="minorHAnsi"/>
          <w:b/>
          <w:bCs/>
          <w:color w:val="262626"/>
          <w:lang w:val="pl"/>
        </w:rPr>
        <w:t xml:space="preserve"> per MB'</w:t>
      </w:r>
      <w:r w:rsidRPr="006147B6">
        <w:rPr>
          <w:rFonts w:cstheme="minorHAnsi"/>
          <w:color w:val="262626"/>
          <w:lang w:val="pl"/>
        </w:rPr>
        <w:t xml:space="preserve"> - Tumor </w:t>
      </w:r>
      <w:proofErr w:type="spellStart"/>
      <w:r w:rsidRPr="006147B6">
        <w:rPr>
          <w:rFonts w:cstheme="minorHAnsi"/>
          <w:color w:val="262626"/>
          <w:lang w:val="pl"/>
        </w:rPr>
        <w:t>Mutational</w:t>
      </w:r>
      <w:proofErr w:type="spellEnd"/>
      <w:r w:rsidRPr="006147B6">
        <w:rPr>
          <w:rFonts w:cstheme="minorHAnsi"/>
          <w:color w:val="262626"/>
          <w:lang w:val="pl"/>
        </w:rPr>
        <w:t xml:space="preserve"> </w:t>
      </w:r>
      <w:proofErr w:type="spellStart"/>
      <w:r w:rsidRPr="006147B6">
        <w:rPr>
          <w:rFonts w:cstheme="minorHAnsi"/>
          <w:color w:val="262626"/>
          <w:lang w:val="pl"/>
        </w:rPr>
        <w:t>Burden</w:t>
      </w:r>
      <w:proofErr w:type="spellEnd"/>
      <w:r w:rsidRPr="006147B6">
        <w:rPr>
          <w:rFonts w:cstheme="minorHAnsi"/>
          <w:color w:val="262626"/>
          <w:lang w:val="pl"/>
        </w:rPr>
        <w:t xml:space="preserve"> (TMB) </w:t>
      </w:r>
      <w:proofErr w:type="spellStart"/>
      <w:r w:rsidRPr="006147B6">
        <w:rPr>
          <w:rFonts w:cstheme="minorHAnsi"/>
          <w:color w:val="262626"/>
          <w:lang w:val="pl"/>
        </w:rPr>
        <w:t>measured</w:t>
      </w:r>
      <w:proofErr w:type="spellEnd"/>
      <w:r w:rsidRPr="006147B6">
        <w:rPr>
          <w:rFonts w:cstheme="minorHAnsi"/>
          <w:color w:val="262626"/>
          <w:lang w:val="pl"/>
        </w:rPr>
        <w:t xml:space="preserve"> with Foundation </w:t>
      </w:r>
      <w:proofErr w:type="spellStart"/>
      <w:r w:rsidRPr="006147B6">
        <w:rPr>
          <w:rFonts w:cstheme="minorHAnsi"/>
          <w:color w:val="262626"/>
          <w:lang w:val="pl"/>
        </w:rPr>
        <w:t>Medicine</w:t>
      </w:r>
      <w:proofErr w:type="spellEnd"/>
      <w:r w:rsidRPr="006147B6">
        <w:rPr>
          <w:rFonts w:cstheme="minorHAnsi"/>
          <w:color w:val="262626"/>
          <w:lang w:val="pl"/>
        </w:rPr>
        <w:t xml:space="preserve"> panel</w:t>
      </w:r>
      <w:r w:rsidR="00375775">
        <w:rPr>
          <w:rFonts w:cstheme="minorHAnsi"/>
          <w:color w:val="262626"/>
          <w:lang w:val="pl"/>
        </w:rPr>
        <w:t xml:space="preserve">; </w:t>
      </w:r>
      <w:hyperlink r:id="rId9" w:history="1">
        <w:r w:rsidR="00375775" w:rsidRPr="00B375E3">
          <w:rPr>
            <w:rStyle w:val="Hyperlink"/>
            <w:rFonts w:cstheme="minorHAnsi"/>
            <w:lang w:val="pl"/>
          </w:rPr>
          <w:t>https://www.foundationmedicine.com/test/foundationone-cdx</w:t>
        </w:r>
      </w:hyperlink>
    </w:p>
    <w:p w14:paraId="5E88C4F1" w14:textId="77777777" w:rsidR="00375775" w:rsidRDefault="00375775" w:rsidP="00375775">
      <w:pPr>
        <w:pStyle w:val="ListParagraph"/>
        <w:autoSpaceDE w:val="0"/>
        <w:autoSpaceDN w:val="0"/>
        <w:adjustRightInd w:val="0"/>
        <w:spacing w:before="120"/>
        <w:ind w:left="360"/>
        <w:rPr>
          <w:rFonts w:cstheme="minorHAnsi"/>
          <w:color w:val="262626"/>
          <w:lang w:val="pl"/>
        </w:rPr>
      </w:pPr>
    </w:p>
    <w:p w14:paraId="082E093E" w14:textId="455C4168" w:rsidR="00171A17" w:rsidRPr="00375775" w:rsidRDefault="00171A17" w:rsidP="00375775">
      <w:pPr>
        <w:pStyle w:val="ListParagraph"/>
        <w:numPr>
          <w:ilvl w:val="0"/>
          <w:numId w:val="6"/>
        </w:numPr>
        <w:autoSpaceDE w:val="0"/>
        <w:autoSpaceDN w:val="0"/>
        <w:adjustRightInd w:val="0"/>
        <w:spacing w:before="120"/>
        <w:rPr>
          <w:rFonts w:cstheme="minorHAnsi"/>
          <w:color w:val="262626"/>
          <w:lang w:val="pl"/>
        </w:rPr>
      </w:pPr>
      <w:r w:rsidRPr="00375775">
        <w:rPr>
          <w:rFonts w:cstheme="minorHAnsi"/>
          <w:b/>
          <w:bCs/>
          <w:color w:val="262626"/>
        </w:rPr>
        <w:t>Tumor mutational burden (TMB)—</w:t>
      </w:r>
      <w:r w:rsidRPr="00375775">
        <w:rPr>
          <w:rFonts w:cstheme="minorHAnsi"/>
          <w:color w:val="262626"/>
        </w:rPr>
        <w:t>the number of somatic mutations per DNA megabase (Mb)</w:t>
      </w:r>
      <w:r w:rsidRPr="00375775">
        <w:rPr>
          <w:rFonts w:cstheme="minorHAnsi"/>
          <w:color w:val="262626"/>
          <w:lang w:val="fr-CH"/>
        </w:rPr>
        <w:t xml:space="preserve">, </w:t>
      </w:r>
      <w:proofErr w:type="spellStart"/>
      <w:r w:rsidRPr="00375775">
        <w:rPr>
          <w:rFonts w:cstheme="minorHAnsi"/>
          <w:color w:val="262626"/>
          <w:lang w:val="fr-CH"/>
        </w:rPr>
        <w:t>used</w:t>
      </w:r>
      <w:proofErr w:type="spellEnd"/>
      <w:r w:rsidRPr="00375775">
        <w:rPr>
          <w:rFonts w:cstheme="minorHAnsi"/>
          <w:color w:val="262626"/>
          <w:lang w:val="fr-CH"/>
        </w:rPr>
        <w:t xml:space="preserve"> as </w:t>
      </w:r>
      <w:r w:rsidRPr="00375775">
        <w:rPr>
          <w:rFonts w:cstheme="minorHAnsi"/>
          <w:color w:val="262626"/>
        </w:rPr>
        <w:t>neoantigen burden that is an independent biomarker associated with ICPI outcomes</w:t>
      </w:r>
    </w:p>
    <w:p w14:paraId="403246AD" w14:textId="77777777" w:rsidR="00171A17" w:rsidRPr="00171A17" w:rsidRDefault="00171A17" w:rsidP="00171A17">
      <w:pPr>
        <w:pStyle w:val="ListParagraph"/>
        <w:numPr>
          <w:ilvl w:val="1"/>
          <w:numId w:val="6"/>
        </w:numPr>
        <w:autoSpaceDE w:val="0"/>
        <w:autoSpaceDN w:val="0"/>
        <w:adjustRightInd w:val="0"/>
        <w:spacing w:before="120"/>
        <w:rPr>
          <w:rFonts w:cstheme="minorHAnsi"/>
          <w:color w:val="262626"/>
        </w:rPr>
      </w:pPr>
      <w:r w:rsidRPr="00171A17">
        <w:rPr>
          <w:rFonts w:cstheme="minorHAnsi"/>
          <w:color w:val="262626"/>
        </w:rPr>
        <w:t>TMB can be reliably estimated using validated algorithms from next‐generation sequencing assays that interrogate a sufficiently large subset of the exome as an alternative to whole‐exome sequencing.</w:t>
      </w:r>
    </w:p>
    <w:p w14:paraId="63C09D71" w14:textId="77777777" w:rsidR="00171A17" w:rsidRPr="00171A17" w:rsidRDefault="00171A17" w:rsidP="00171A17">
      <w:pPr>
        <w:pStyle w:val="ListParagraph"/>
        <w:numPr>
          <w:ilvl w:val="1"/>
          <w:numId w:val="6"/>
        </w:numPr>
        <w:autoSpaceDE w:val="0"/>
        <w:autoSpaceDN w:val="0"/>
        <w:adjustRightInd w:val="0"/>
        <w:spacing w:before="120"/>
        <w:rPr>
          <w:rFonts w:cstheme="minorHAnsi"/>
          <w:color w:val="262626"/>
        </w:rPr>
      </w:pPr>
      <w:r w:rsidRPr="00171A17">
        <w:rPr>
          <w:rFonts w:cstheme="minorHAnsi"/>
          <w:color w:val="262626"/>
        </w:rPr>
        <w:t>elevated TMB can result from</w:t>
      </w:r>
      <w:r>
        <w:rPr>
          <w:rFonts w:cstheme="minorHAnsi"/>
          <w:color w:val="262626"/>
        </w:rPr>
        <w:t> </w:t>
      </w:r>
      <w:r>
        <w:rPr>
          <w:rFonts w:cstheme="minorHAnsi"/>
          <w:color w:val="262626"/>
          <w:lang w:val="fr-CH"/>
        </w:rPr>
        <w:t>:</w:t>
      </w:r>
    </w:p>
    <w:p w14:paraId="224E1BE5" w14:textId="77777777" w:rsidR="00171A17" w:rsidRDefault="00171A17" w:rsidP="00171A17">
      <w:pPr>
        <w:pStyle w:val="ListParagraph"/>
        <w:numPr>
          <w:ilvl w:val="2"/>
          <w:numId w:val="6"/>
        </w:numPr>
        <w:autoSpaceDE w:val="0"/>
        <w:autoSpaceDN w:val="0"/>
        <w:adjustRightInd w:val="0"/>
        <w:spacing w:before="120"/>
        <w:rPr>
          <w:rFonts w:cstheme="minorHAnsi"/>
          <w:color w:val="262626"/>
        </w:rPr>
      </w:pPr>
      <w:r w:rsidRPr="00171A17">
        <w:rPr>
          <w:rFonts w:cstheme="minorHAnsi"/>
          <w:color w:val="262626"/>
        </w:rPr>
        <w:t xml:space="preserve"> exposure to cigarette smoke</w:t>
      </w:r>
    </w:p>
    <w:p w14:paraId="3B29403B" w14:textId="77777777" w:rsidR="00171A17" w:rsidRDefault="00171A17" w:rsidP="00171A17">
      <w:pPr>
        <w:pStyle w:val="ListParagraph"/>
        <w:numPr>
          <w:ilvl w:val="2"/>
          <w:numId w:val="6"/>
        </w:numPr>
        <w:autoSpaceDE w:val="0"/>
        <w:autoSpaceDN w:val="0"/>
        <w:adjustRightInd w:val="0"/>
        <w:spacing w:before="120"/>
        <w:rPr>
          <w:rFonts w:cstheme="minorHAnsi"/>
          <w:color w:val="262626"/>
        </w:rPr>
      </w:pPr>
      <w:r w:rsidRPr="00171A17">
        <w:rPr>
          <w:rFonts w:cstheme="minorHAnsi"/>
          <w:color w:val="262626"/>
        </w:rPr>
        <w:t>ultraviolet radiation</w:t>
      </w:r>
    </w:p>
    <w:p w14:paraId="50BCA94B" w14:textId="77777777" w:rsidR="00171A17" w:rsidRDefault="00171A17" w:rsidP="00171A17">
      <w:pPr>
        <w:pStyle w:val="ListParagraph"/>
        <w:numPr>
          <w:ilvl w:val="2"/>
          <w:numId w:val="6"/>
        </w:numPr>
        <w:autoSpaceDE w:val="0"/>
        <w:autoSpaceDN w:val="0"/>
        <w:adjustRightInd w:val="0"/>
        <w:spacing w:before="120"/>
        <w:rPr>
          <w:rFonts w:cstheme="minorHAnsi"/>
          <w:color w:val="262626"/>
        </w:rPr>
      </w:pPr>
      <w:r w:rsidRPr="00171A17">
        <w:rPr>
          <w:rFonts w:cstheme="minorHAnsi"/>
          <w:color w:val="262626"/>
        </w:rPr>
        <w:t xml:space="preserve">deleterious mutations in mismatch repair leading to microsatellite instability, </w:t>
      </w:r>
    </w:p>
    <w:p w14:paraId="3D661E63" w14:textId="3891E9A1" w:rsidR="00171A17" w:rsidRPr="00171A17" w:rsidRDefault="00171A17" w:rsidP="00171A17">
      <w:pPr>
        <w:pStyle w:val="ListParagraph"/>
        <w:numPr>
          <w:ilvl w:val="2"/>
          <w:numId w:val="6"/>
        </w:numPr>
        <w:autoSpaceDE w:val="0"/>
        <w:autoSpaceDN w:val="0"/>
        <w:adjustRightInd w:val="0"/>
        <w:spacing w:before="120"/>
        <w:rPr>
          <w:rFonts w:cstheme="minorHAnsi"/>
          <w:color w:val="262626"/>
        </w:rPr>
      </w:pPr>
      <w:r w:rsidRPr="00171A17">
        <w:rPr>
          <w:rFonts w:cstheme="minorHAnsi"/>
          <w:color w:val="262626"/>
        </w:rPr>
        <w:t>or from mutations in the DNA repair machinery.</w:t>
      </w:r>
    </w:p>
    <w:p w14:paraId="7EB74C65" w14:textId="53C92E12" w:rsidR="00171A17" w:rsidRDefault="00171A17" w:rsidP="00171A17">
      <w:pPr>
        <w:pStyle w:val="ListParagraph"/>
        <w:numPr>
          <w:ilvl w:val="1"/>
          <w:numId w:val="6"/>
        </w:numPr>
        <w:autoSpaceDE w:val="0"/>
        <w:autoSpaceDN w:val="0"/>
        <w:adjustRightInd w:val="0"/>
        <w:spacing w:before="120"/>
        <w:rPr>
          <w:rFonts w:cstheme="minorHAnsi"/>
          <w:color w:val="262626"/>
        </w:rPr>
      </w:pPr>
      <w:r w:rsidRPr="00171A17">
        <w:rPr>
          <w:rFonts w:cstheme="minorHAnsi"/>
          <w:color w:val="262626"/>
        </w:rPr>
        <w:t>patients with higher TMB experience longer survival and greater response rates following treatment with ICPIs compared with those who have lower TMB levels</w:t>
      </w:r>
    </w:p>
    <w:p w14:paraId="71F7F97D" w14:textId="0B2DC227" w:rsidR="00171A17" w:rsidRDefault="006147B6" w:rsidP="00375775">
      <w:pPr>
        <w:pStyle w:val="ListParagraph"/>
        <w:numPr>
          <w:ilvl w:val="2"/>
          <w:numId w:val="6"/>
        </w:numPr>
        <w:autoSpaceDE w:val="0"/>
        <w:autoSpaceDN w:val="0"/>
        <w:adjustRightInd w:val="0"/>
        <w:spacing w:before="120"/>
        <w:rPr>
          <w:rFonts w:cstheme="minorHAnsi"/>
          <w:color w:val="262626"/>
        </w:rPr>
      </w:pPr>
      <w:proofErr w:type="spellStart"/>
      <w:proofErr w:type="gramStart"/>
      <w:r>
        <w:rPr>
          <w:rFonts w:cstheme="minorHAnsi"/>
          <w:color w:val="262626"/>
          <w:lang w:val="fr-CH"/>
        </w:rPr>
        <w:t>exa</w:t>
      </w:r>
      <w:r w:rsidR="009A5689">
        <w:rPr>
          <w:rFonts w:cstheme="minorHAnsi"/>
          <w:color w:val="262626"/>
          <w:lang w:val="fr-CH"/>
        </w:rPr>
        <w:t>m</w:t>
      </w:r>
      <w:r>
        <w:rPr>
          <w:rFonts w:cstheme="minorHAnsi"/>
          <w:color w:val="262626"/>
          <w:lang w:val="fr-CH"/>
        </w:rPr>
        <w:t>ple</w:t>
      </w:r>
      <w:proofErr w:type="spellEnd"/>
      <w:proofErr w:type="gramEnd"/>
      <w:r>
        <w:rPr>
          <w:rFonts w:cstheme="minorHAnsi"/>
          <w:color w:val="262626"/>
          <w:lang w:val="fr-CH"/>
        </w:rPr>
        <w:t xml:space="preserve"> : </w:t>
      </w:r>
      <w:r w:rsidRPr="006147B6">
        <w:rPr>
          <w:rFonts w:cstheme="minorHAnsi"/>
          <w:color w:val="262626"/>
        </w:rPr>
        <w:t>TMB threshold of ≥10 mutations per Mb to be predictive of longer progression‐free survival in patients with non‐small cell lung cancer</w:t>
      </w:r>
    </w:p>
    <w:p w14:paraId="62FA3A0A" w14:textId="77777777" w:rsidR="00375775" w:rsidRPr="00375775" w:rsidRDefault="00375775" w:rsidP="00375775">
      <w:pPr>
        <w:pStyle w:val="ListParagraph"/>
        <w:numPr>
          <w:ilvl w:val="1"/>
          <w:numId w:val="6"/>
        </w:numPr>
        <w:autoSpaceDE w:val="0"/>
        <w:autoSpaceDN w:val="0"/>
        <w:adjustRightInd w:val="0"/>
        <w:rPr>
          <w:rFonts w:cstheme="minorHAnsi"/>
          <w:color w:val="262626"/>
        </w:rPr>
      </w:pPr>
      <w:proofErr w:type="gramStart"/>
      <w:r w:rsidRPr="00375775">
        <w:rPr>
          <w:rFonts w:cstheme="minorHAnsi"/>
          <w:color w:val="262626"/>
          <w:lang w:val="fr-CH"/>
        </w:rPr>
        <w:t>CAUTION:</w:t>
      </w:r>
      <w:proofErr w:type="gramEnd"/>
      <w:r w:rsidRPr="00375775">
        <w:rPr>
          <w:rFonts w:cstheme="minorHAnsi"/>
          <w:color w:val="262626"/>
          <w:lang w:val="fr-CH"/>
        </w:rPr>
        <w:t xml:space="preserve"> </w:t>
      </w:r>
      <w:r w:rsidRPr="00375775">
        <w:rPr>
          <w:rFonts w:cstheme="minorHAnsi"/>
          <w:color w:val="262626"/>
        </w:rPr>
        <w:t xml:space="preserve">Methods for the calculation of TMB are not standardized between laboratories, with significant variables being the gene content of the panels sequenced and the inclusion or exclusion of synonymous variants in the calculations. </w:t>
      </w:r>
    </w:p>
    <w:p w14:paraId="5DC77967" w14:textId="77777777" w:rsidR="00375775" w:rsidRPr="00375775" w:rsidRDefault="00375775" w:rsidP="00375775">
      <w:pPr>
        <w:pStyle w:val="ListParagraph"/>
        <w:autoSpaceDE w:val="0"/>
        <w:autoSpaceDN w:val="0"/>
        <w:adjustRightInd w:val="0"/>
        <w:spacing w:before="120"/>
        <w:ind w:left="1800"/>
        <w:rPr>
          <w:rFonts w:cstheme="minorHAnsi"/>
          <w:color w:val="262626"/>
        </w:rPr>
      </w:pPr>
    </w:p>
    <w:p w14:paraId="3019E46C" w14:textId="5476F092" w:rsidR="00AB0C51" w:rsidRDefault="00AB0C51" w:rsidP="00C66F7B">
      <w:pPr>
        <w:autoSpaceDE w:val="0"/>
        <w:autoSpaceDN w:val="0"/>
        <w:adjustRightInd w:val="0"/>
        <w:spacing w:before="120"/>
        <w:rPr>
          <w:rFonts w:cstheme="minorHAnsi"/>
          <w:b/>
          <w:bCs/>
          <w:color w:val="262626"/>
          <w:lang w:val="en-GB"/>
        </w:rPr>
      </w:pPr>
      <w:r>
        <w:rPr>
          <w:rFonts w:cstheme="minorHAnsi"/>
          <w:b/>
          <w:bCs/>
          <w:color w:val="262626"/>
          <w:lang w:val="en-GB"/>
        </w:rPr>
        <w:lastRenderedPageBreak/>
        <w:t>Articles and online materials</w:t>
      </w:r>
    </w:p>
    <w:p w14:paraId="6FDEE8C8" w14:textId="198ED37F" w:rsidR="004A322D" w:rsidRPr="00375775" w:rsidRDefault="00AB0C51" w:rsidP="00C66F7B">
      <w:pPr>
        <w:pStyle w:val="ListParagraph"/>
        <w:numPr>
          <w:ilvl w:val="0"/>
          <w:numId w:val="5"/>
        </w:numPr>
        <w:autoSpaceDE w:val="0"/>
        <w:autoSpaceDN w:val="0"/>
        <w:adjustRightInd w:val="0"/>
        <w:spacing w:before="120"/>
        <w:rPr>
          <w:rFonts w:cstheme="minorHAnsi"/>
          <w:color w:val="3B3838" w:themeColor="background2" w:themeShade="40"/>
          <w:kern w:val="1"/>
          <w:sz w:val="20"/>
          <w:szCs w:val="20"/>
          <w:lang w:val="en-GB"/>
        </w:rPr>
      </w:pPr>
      <w:r w:rsidRPr="00375775">
        <w:rPr>
          <w:rFonts w:cstheme="minorHAnsi"/>
          <w:b/>
          <w:bCs/>
          <w:color w:val="3B3838" w:themeColor="background2" w:themeShade="40"/>
          <w:sz w:val="20"/>
          <w:szCs w:val="20"/>
          <w:lang w:val="en-GB"/>
        </w:rPr>
        <w:t xml:space="preserve">Comparison of commonly used solid </w:t>
      </w:r>
      <w:proofErr w:type="spellStart"/>
      <w:r w:rsidRPr="00375775">
        <w:rPr>
          <w:rFonts w:cstheme="minorHAnsi"/>
          <w:b/>
          <w:bCs/>
          <w:color w:val="3B3838" w:themeColor="background2" w:themeShade="40"/>
          <w:sz w:val="20"/>
          <w:szCs w:val="20"/>
          <w:lang w:val="en-GB"/>
        </w:rPr>
        <w:t>tumor</w:t>
      </w:r>
      <w:proofErr w:type="spellEnd"/>
      <w:r w:rsidRPr="00375775">
        <w:rPr>
          <w:rFonts w:cstheme="minorHAnsi"/>
          <w:b/>
          <w:bCs/>
          <w:color w:val="3B3838" w:themeColor="background2" w:themeShade="40"/>
          <w:sz w:val="20"/>
          <w:szCs w:val="20"/>
          <w:lang w:val="en-GB"/>
        </w:rPr>
        <w:t xml:space="preserve"> targeted gene sequencing panels for estimating </w:t>
      </w:r>
      <w:proofErr w:type="spellStart"/>
      <w:r w:rsidRPr="00375775">
        <w:rPr>
          <w:rFonts w:cstheme="minorHAnsi"/>
          <w:b/>
          <w:bCs/>
          <w:color w:val="3B3838" w:themeColor="background2" w:themeShade="40"/>
          <w:sz w:val="20"/>
          <w:szCs w:val="20"/>
          <w:lang w:val="en-GB"/>
        </w:rPr>
        <w:t>tumor</w:t>
      </w:r>
      <w:proofErr w:type="spellEnd"/>
      <w:r w:rsidRPr="00375775">
        <w:rPr>
          <w:rFonts w:cstheme="minorHAnsi"/>
          <w:b/>
          <w:bCs/>
          <w:color w:val="3B3838" w:themeColor="background2" w:themeShade="40"/>
          <w:sz w:val="20"/>
          <w:szCs w:val="20"/>
          <w:lang w:val="en-GB"/>
        </w:rPr>
        <w:t xml:space="preserve"> mutation burden shows analytical and prognostic concordance within the cancer genome atlas cohort</w:t>
      </w:r>
      <w:r w:rsidRPr="00375775">
        <w:rPr>
          <w:rFonts w:cstheme="minorHAnsi"/>
          <w:color w:val="3B3838" w:themeColor="background2" w:themeShade="40"/>
          <w:kern w:val="1"/>
          <w:sz w:val="20"/>
          <w:szCs w:val="20"/>
          <w:lang w:val="en-GB"/>
        </w:rPr>
        <w:t xml:space="preserve"> </w:t>
      </w:r>
      <w:hyperlink r:id="rId10" w:history="1">
        <w:r w:rsidR="00C66F7B" w:rsidRPr="00375775">
          <w:rPr>
            <w:rStyle w:val="Hyperlink"/>
            <w:rFonts w:cstheme="minorHAnsi"/>
            <w:color w:val="3B3838" w:themeColor="background2" w:themeShade="40"/>
            <w:kern w:val="1"/>
            <w:sz w:val="20"/>
            <w:szCs w:val="20"/>
            <w:lang w:val="en-GB"/>
          </w:rPr>
          <w:t>https://jitc.bmj.com/content/8/1/e000613</w:t>
        </w:r>
      </w:hyperlink>
    </w:p>
    <w:p w14:paraId="23F4845D" w14:textId="220BC577" w:rsidR="00C66F7B" w:rsidRPr="00375775" w:rsidRDefault="00C66F7B" w:rsidP="00C66F7B">
      <w:pPr>
        <w:pStyle w:val="ListParagraph"/>
        <w:numPr>
          <w:ilvl w:val="1"/>
          <w:numId w:val="5"/>
        </w:numPr>
        <w:autoSpaceDE w:val="0"/>
        <w:autoSpaceDN w:val="0"/>
        <w:adjustRightInd w:val="0"/>
        <w:spacing w:before="120"/>
        <w:rPr>
          <w:rFonts w:cstheme="minorHAnsi"/>
          <w:color w:val="3B3838" w:themeColor="background2" w:themeShade="40"/>
          <w:kern w:val="1"/>
          <w:sz w:val="20"/>
          <w:szCs w:val="20"/>
          <w:lang w:val="en-GB"/>
        </w:rPr>
      </w:pPr>
      <w:proofErr w:type="gramStart"/>
      <w:r w:rsidRPr="00375775">
        <w:rPr>
          <w:rFonts w:cstheme="minorHAnsi"/>
          <w:color w:val="3B3838" w:themeColor="background2" w:themeShade="40"/>
          <w:sz w:val="20"/>
          <w:szCs w:val="20"/>
          <w:lang w:val="en-GB"/>
        </w:rPr>
        <w:t>Caution;</w:t>
      </w:r>
      <w:proofErr w:type="gramEnd"/>
      <w:r w:rsidRPr="00375775">
        <w:rPr>
          <w:rFonts w:cstheme="minorHAnsi"/>
          <w:color w:val="3B3838" w:themeColor="background2" w:themeShade="40"/>
          <w:sz w:val="20"/>
          <w:szCs w:val="20"/>
          <w:lang w:val="en-GB"/>
        </w:rPr>
        <w:t xml:space="preserve"> they used somatic sniper, from David E. Larson, </w:t>
      </w:r>
      <w:hyperlink r:id="rId11" w:history="1">
        <w:r w:rsidRPr="00375775">
          <w:rPr>
            <w:rStyle w:val="Hyperlink"/>
            <w:rFonts w:cstheme="minorHAnsi"/>
            <w:color w:val="3B3838" w:themeColor="background2" w:themeShade="40"/>
            <w:sz w:val="20"/>
            <w:szCs w:val="20"/>
            <w:lang w:val="en-GB"/>
          </w:rPr>
          <w:t>https://www.ncbi.nlm.nih.gov/pmc/articles/PMC3268238/</w:t>
        </w:r>
      </w:hyperlink>
    </w:p>
    <w:p w14:paraId="62033239" w14:textId="7B979F36" w:rsidR="00C66F7B" w:rsidRPr="00375775" w:rsidRDefault="00C66F7B" w:rsidP="00C66F7B">
      <w:pPr>
        <w:pStyle w:val="ListParagraph"/>
        <w:numPr>
          <w:ilvl w:val="1"/>
          <w:numId w:val="5"/>
        </w:numPr>
        <w:autoSpaceDE w:val="0"/>
        <w:autoSpaceDN w:val="0"/>
        <w:adjustRightInd w:val="0"/>
        <w:spacing w:before="120"/>
        <w:rPr>
          <w:rFonts w:cstheme="minorHAnsi"/>
          <w:color w:val="3B3838" w:themeColor="background2" w:themeShade="40"/>
          <w:kern w:val="1"/>
          <w:sz w:val="20"/>
          <w:szCs w:val="20"/>
          <w:lang w:val="en-GB"/>
        </w:rPr>
      </w:pPr>
      <w:r w:rsidRPr="00375775">
        <w:rPr>
          <w:rFonts w:cstheme="minorHAnsi"/>
          <w:color w:val="3B3838" w:themeColor="background2" w:themeShade="40"/>
          <w:sz w:val="20"/>
          <w:szCs w:val="20"/>
          <w:lang w:val="en-GB"/>
        </w:rPr>
        <w:t xml:space="preserve">Its early version had problems with fixed number of case-control samples, and min-max used for estimating most probable combination of variants at a given position, then tested with multinomial </w:t>
      </w:r>
      <w:proofErr w:type="spellStart"/>
      <w:r w:rsidRPr="00375775">
        <w:rPr>
          <w:rFonts w:cstheme="minorHAnsi"/>
          <w:color w:val="3B3838" w:themeColor="background2" w:themeShade="40"/>
          <w:sz w:val="20"/>
          <w:szCs w:val="20"/>
          <w:lang w:val="en-GB"/>
        </w:rPr>
        <w:t>distrib</w:t>
      </w:r>
      <w:proofErr w:type="spellEnd"/>
      <w:r w:rsidRPr="00375775">
        <w:rPr>
          <w:rFonts w:cstheme="minorHAnsi"/>
          <w:color w:val="3B3838" w:themeColor="background2" w:themeShade="40"/>
          <w:sz w:val="20"/>
          <w:szCs w:val="20"/>
          <w:lang w:val="en-GB"/>
        </w:rPr>
        <w:t>.</w:t>
      </w:r>
    </w:p>
    <w:p w14:paraId="3DCBE04B" w14:textId="0DCF5750" w:rsidR="00C66F7B" w:rsidRPr="00375775" w:rsidRDefault="00C66F7B" w:rsidP="00C66F7B">
      <w:pPr>
        <w:pStyle w:val="ListParagraph"/>
        <w:numPr>
          <w:ilvl w:val="1"/>
          <w:numId w:val="5"/>
        </w:numPr>
        <w:autoSpaceDE w:val="0"/>
        <w:autoSpaceDN w:val="0"/>
        <w:adjustRightInd w:val="0"/>
        <w:spacing w:before="120"/>
        <w:rPr>
          <w:rFonts w:cstheme="minorHAnsi"/>
          <w:color w:val="3B3838" w:themeColor="background2" w:themeShade="40"/>
          <w:kern w:val="1"/>
          <w:sz w:val="20"/>
          <w:szCs w:val="20"/>
          <w:lang w:val="en-GB"/>
        </w:rPr>
      </w:pPr>
      <w:r w:rsidRPr="00375775">
        <w:rPr>
          <w:rFonts w:cstheme="minorHAnsi"/>
          <w:color w:val="3B3838" w:themeColor="background2" w:themeShade="40"/>
          <w:sz w:val="20"/>
          <w:szCs w:val="20"/>
          <w:lang w:val="en-GB"/>
        </w:rPr>
        <w:t>It could lead to several artifacts, by lowering the number of observed/accepted variants, even if supported by empirical data</w:t>
      </w:r>
    </w:p>
    <w:p w14:paraId="079BC046" w14:textId="682CEF0E" w:rsidR="00171A17" w:rsidRDefault="00171A17" w:rsidP="00171A17">
      <w:pPr>
        <w:pStyle w:val="ListParagraph"/>
        <w:numPr>
          <w:ilvl w:val="0"/>
          <w:numId w:val="5"/>
        </w:numPr>
        <w:autoSpaceDE w:val="0"/>
        <w:autoSpaceDN w:val="0"/>
        <w:adjustRightInd w:val="0"/>
        <w:spacing w:before="120"/>
        <w:rPr>
          <w:rFonts w:cstheme="minorHAnsi"/>
          <w:color w:val="3B3838" w:themeColor="background2" w:themeShade="40"/>
          <w:kern w:val="1"/>
          <w:sz w:val="20"/>
          <w:szCs w:val="20"/>
        </w:rPr>
      </w:pPr>
      <w:r w:rsidRPr="00171A17">
        <w:rPr>
          <w:rFonts w:cstheme="minorHAnsi"/>
          <w:b/>
          <w:bCs/>
          <w:color w:val="3B3838" w:themeColor="background2" w:themeShade="40"/>
          <w:kern w:val="1"/>
          <w:sz w:val="20"/>
          <w:szCs w:val="20"/>
        </w:rPr>
        <w:t xml:space="preserve">Tumor Mutational Burden as a Predictive Biomarker for Response to Immune Checkpoint Inhibitors: </w:t>
      </w:r>
      <w:r w:rsidRPr="00171A17">
        <w:rPr>
          <w:rFonts w:cstheme="minorHAnsi"/>
          <w:color w:val="3B3838" w:themeColor="background2" w:themeShade="40"/>
          <w:kern w:val="1"/>
          <w:sz w:val="20"/>
          <w:szCs w:val="20"/>
        </w:rPr>
        <w:t xml:space="preserve">A Review of Current Evidence </w:t>
      </w:r>
      <w:r w:rsidRPr="00375775">
        <w:rPr>
          <w:rFonts w:cstheme="minorHAnsi"/>
          <w:color w:val="3B3838" w:themeColor="background2" w:themeShade="40"/>
          <w:kern w:val="1"/>
          <w:sz w:val="20"/>
          <w:szCs w:val="20"/>
        </w:rPr>
        <w:t>Published online 2019 Oct 2. doi: </w:t>
      </w:r>
      <w:hyperlink r:id="rId12" w:tgtFrame="_blank" w:history="1">
        <w:r w:rsidRPr="00375775">
          <w:rPr>
            <w:rStyle w:val="Hyperlink"/>
            <w:rFonts w:cstheme="minorHAnsi"/>
            <w:color w:val="3B3838" w:themeColor="background2" w:themeShade="40"/>
            <w:kern w:val="1"/>
            <w:sz w:val="20"/>
            <w:szCs w:val="20"/>
          </w:rPr>
          <w:t>10.1634/theoncologist.2019-0244</w:t>
        </w:r>
      </w:hyperlink>
    </w:p>
    <w:p w14:paraId="552F6089" w14:textId="185756D9" w:rsidR="00375775" w:rsidRPr="00F92054" w:rsidRDefault="00F92054" w:rsidP="00F92054">
      <w:pPr>
        <w:pStyle w:val="ListParagraph"/>
        <w:numPr>
          <w:ilvl w:val="0"/>
          <w:numId w:val="5"/>
        </w:numPr>
        <w:autoSpaceDE w:val="0"/>
        <w:autoSpaceDN w:val="0"/>
        <w:adjustRightInd w:val="0"/>
        <w:spacing w:before="120"/>
        <w:rPr>
          <w:rFonts w:cstheme="minorHAnsi"/>
          <w:b/>
          <w:bCs/>
          <w:color w:val="3B3838" w:themeColor="background2" w:themeShade="40"/>
          <w:kern w:val="1"/>
          <w:sz w:val="20"/>
          <w:szCs w:val="20"/>
        </w:rPr>
      </w:pPr>
      <w:r w:rsidRPr="00F92054">
        <w:rPr>
          <w:rFonts w:cstheme="minorHAnsi"/>
          <w:b/>
          <w:bCs/>
          <w:color w:val="3B3838" w:themeColor="background2" w:themeShade="40"/>
          <w:kern w:val="1"/>
          <w:sz w:val="20"/>
          <w:szCs w:val="20"/>
        </w:rPr>
        <w:t>Comparison of commonly used solid tumor targeted gene sequencing panels for estimating tumor mutation burden shows analytical and prognostic concordance within the cancer genome atlas cohort</w:t>
      </w:r>
      <w:r w:rsidRPr="00F92054">
        <w:rPr>
          <w:rFonts w:cstheme="minorHAnsi"/>
          <w:b/>
          <w:bCs/>
          <w:color w:val="3B3838" w:themeColor="background2" w:themeShade="40"/>
          <w:kern w:val="1"/>
          <w:sz w:val="20"/>
          <w:szCs w:val="20"/>
          <w:lang w:val="fr-CH"/>
        </w:rPr>
        <w:t xml:space="preserve"> </w:t>
      </w:r>
      <w:r w:rsidRPr="00F92054">
        <w:rPr>
          <w:rFonts w:cstheme="minorHAnsi"/>
          <w:b/>
          <w:bCs/>
          <w:color w:val="3B3838" w:themeColor="background2" w:themeShade="40"/>
          <w:kern w:val="1"/>
          <w:sz w:val="20"/>
          <w:szCs w:val="20"/>
        </w:rPr>
        <w:t>https://jitc.bmj.com/content/jitc/8/1/e000613.full.pdf</w:t>
      </w:r>
    </w:p>
    <w:p w14:paraId="6B03FE11" w14:textId="77777777" w:rsidR="00375775" w:rsidRPr="00375775" w:rsidRDefault="00375775" w:rsidP="00375775">
      <w:pPr>
        <w:pStyle w:val="ListParagraph"/>
        <w:autoSpaceDE w:val="0"/>
        <w:autoSpaceDN w:val="0"/>
        <w:adjustRightInd w:val="0"/>
        <w:spacing w:before="120"/>
        <w:ind w:left="360"/>
        <w:rPr>
          <w:rFonts w:cstheme="minorHAnsi"/>
          <w:b/>
          <w:bCs/>
          <w:kern w:val="1"/>
          <w:sz w:val="21"/>
          <w:szCs w:val="21"/>
        </w:rPr>
      </w:pPr>
    </w:p>
    <w:p w14:paraId="3F58A990" w14:textId="7A158FC9" w:rsidR="00375775" w:rsidRPr="00717A67" w:rsidRDefault="00F92054" w:rsidP="00717A67">
      <w:pPr>
        <w:pBdr>
          <w:bottom w:val="single" w:sz="4" w:space="1" w:color="auto"/>
        </w:pBdr>
        <w:shd w:val="clear" w:color="auto" w:fill="FFF2CC" w:themeFill="accent4" w:themeFillTint="33"/>
        <w:autoSpaceDE w:val="0"/>
        <w:autoSpaceDN w:val="0"/>
        <w:adjustRightInd w:val="0"/>
        <w:rPr>
          <w:rFonts w:cstheme="minorHAnsi"/>
          <w:b/>
          <w:bCs/>
          <w:color w:val="000000"/>
          <w:sz w:val="28"/>
          <w:szCs w:val="28"/>
          <w:lang w:val="en-GB"/>
        </w:rPr>
      </w:pPr>
      <w:r>
        <w:rPr>
          <w:rFonts w:cstheme="minorHAnsi"/>
          <w:b/>
          <w:bCs/>
          <w:color w:val="000000"/>
          <w:sz w:val="28"/>
          <w:szCs w:val="28"/>
          <w:lang w:val="en-GB"/>
        </w:rPr>
        <w:t>Neoantigen</w:t>
      </w:r>
      <w:r w:rsidR="00375775" w:rsidRPr="00C66F7B">
        <w:rPr>
          <w:rFonts w:asciiTheme="minorHAnsi" w:hAnsiTheme="minorHAnsi" w:cstheme="minorHAnsi"/>
          <w:b/>
          <w:bCs/>
          <w:color w:val="000000"/>
          <w:sz w:val="28"/>
          <w:szCs w:val="28"/>
          <w:lang w:val="en-GB"/>
        </w:rPr>
        <w:t xml:space="preserve"> burden per MB</w:t>
      </w:r>
      <w:r w:rsidR="00717A67" w:rsidRPr="00717A67">
        <w:rPr>
          <w:rFonts w:cstheme="minorHAnsi"/>
          <w:color w:val="262626"/>
          <w:lang w:val="pl"/>
        </w:rPr>
        <w:t xml:space="preserve"> </w:t>
      </w:r>
    </w:p>
    <w:p w14:paraId="0C05C7BC" w14:textId="283A1D03" w:rsidR="00717A67" w:rsidRDefault="00717A67" w:rsidP="00717A67">
      <w:pPr>
        <w:pStyle w:val="ListParagraph"/>
        <w:numPr>
          <w:ilvl w:val="0"/>
          <w:numId w:val="6"/>
        </w:numPr>
        <w:autoSpaceDE w:val="0"/>
        <w:autoSpaceDN w:val="0"/>
        <w:adjustRightInd w:val="0"/>
        <w:spacing w:before="120"/>
        <w:rPr>
          <w:rFonts w:cstheme="minorHAnsi"/>
          <w:color w:val="262626"/>
        </w:rPr>
      </w:pPr>
      <w:r w:rsidRPr="00717A67">
        <w:rPr>
          <w:rFonts w:cstheme="minorHAnsi"/>
          <w:b/>
          <w:bCs/>
          <w:color w:val="262626"/>
        </w:rPr>
        <w:t>tumor neoantigen burden (TNB)</w:t>
      </w:r>
      <w:r w:rsidRPr="00717A67">
        <w:rPr>
          <w:rFonts w:cstheme="minorHAnsi"/>
          <w:color w:val="262626"/>
        </w:rPr>
        <w:t xml:space="preserve"> is defined by the number of neoantigens per megabase in the genome region (</w:t>
      </w:r>
      <w:hyperlink r:id="rId13" w:anchor="B13" w:history="1">
        <w:r w:rsidRPr="00717A67">
          <w:rPr>
            <w:rStyle w:val="Hyperlink"/>
            <w:rFonts w:cstheme="minorHAnsi"/>
          </w:rPr>
          <w:t>13</w:t>
        </w:r>
      </w:hyperlink>
      <w:r w:rsidRPr="00717A67">
        <w:rPr>
          <w:rFonts w:cstheme="minorHAnsi"/>
          <w:color w:val="262626"/>
        </w:rPr>
        <w:t>, </w:t>
      </w:r>
      <w:hyperlink r:id="rId14" w:anchor="B14" w:history="1">
        <w:r w:rsidRPr="00717A67">
          <w:rPr>
            <w:rStyle w:val="Hyperlink"/>
            <w:rFonts w:cstheme="minorHAnsi"/>
          </w:rPr>
          <w:t>14</w:t>
        </w:r>
      </w:hyperlink>
      <w:r w:rsidRPr="00717A67">
        <w:rPr>
          <w:rFonts w:cstheme="minorHAnsi"/>
          <w:color w:val="262626"/>
        </w:rPr>
        <w:t>). Notably, TMB has become a biomarker for immunotherapy, assuming that higher TMB will increase the probability of tumor neoantigens and specific T-cell responses (</w:t>
      </w:r>
      <w:hyperlink r:id="rId15" w:anchor="B15" w:history="1">
        <w:r w:rsidRPr="00717A67">
          <w:rPr>
            <w:rStyle w:val="Hyperlink"/>
            <w:rFonts w:cstheme="minorHAnsi"/>
          </w:rPr>
          <w:t>15</w:t>
        </w:r>
      </w:hyperlink>
      <w:r w:rsidRPr="00717A67">
        <w:rPr>
          <w:rFonts w:cstheme="minorHAnsi"/>
          <w:color w:val="262626"/>
        </w:rPr>
        <w:t>).</w:t>
      </w:r>
    </w:p>
    <w:p w14:paraId="48E7408F" w14:textId="77777777" w:rsidR="00717A67" w:rsidRDefault="00717A67" w:rsidP="00717A67">
      <w:pPr>
        <w:pStyle w:val="ListParagraph"/>
        <w:numPr>
          <w:ilvl w:val="1"/>
          <w:numId w:val="6"/>
        </w:numPr>
        <w:autoSpaceDE w:val="0"/>
        <w:autoSpaceDN w:val="0"/>
        <w:adjustRightInd w:val="0"/>
        <w:spacing w:before="120"/>
        <w:rPr>
          <w:rFonts w:cstheme="minorHAnsi"/>
          <w:color w:val="262626"/>
        </w:rPr>
      </w:pPr>
      <w:proofErr w:type="gramStart"/>
      <w:r>
        <w:rPr>
          <w:rFonts w:cstheme="minorHAnsi"/>
          <w:color w:val="262626"/>
          <w:lang w:val="fr-CH"/>
        </w:rPr>
        <w:t>CHALLENGES:</w:t>
      </w:r>
      <w:proofErr w:type="gramEnd"/>
      <w:r>
        <w:rPr>
          <w:rFonts w:cstheme="minorHAnsi"/>
          <w:color w:val="262626"/>
          <w:lang w:val="fr-CH"/>
        </w:rPr>
        <w:t xml:space="preserve"> </w:t>
      </w:r>
    </w:p>
    <w:p w14:paraId="201AEE88" w14:textId="77777777" w:rsidR="00717A67" w:rsidRDefault="00717A67" w:rsidP="00717A67">
      <w:pPr>
        <w:pStyle w:val="ListParagraph"/>
        <w:numPr>
          <w:ilvl w:val="2"/>
          <w:numId w:val="6"/>
        </w:numPr>
        <w:autoSpaceDE w:val="0"/>
        <w:autoSpaceDN w:val="0"/>
        <w:adjustRightInd w:val="0"/>
        <w:spacing w:before="120"/>
        <w:rPr>
          <w:rFonts w:cstheme="minorHAnsi"/>
          <w:color w:val="262626"/>
        </w:rPr>
      </w:pPr>
      <w:r w:rsidRPr="00717A67">
        <w:rPr>
          <w:rFonts w:cstheme="minorHAnsi"/>
          <w:color w:val="262626"/>
        </w:rPr>
        <w:t>not all mutations produce neoantigens. Only a limited number of mutations can be properly processed, presented on the surface of the MHC complex and recognized by T cells (</w:t>
      </w:r>
      <w:hyperlink r:id="rId16" w:anchor="B19" w:history="1">
        <w:r w:rsidRPr="00717A67">
          <w:rPr>
            <w:rStyle w:val="Hyperlink"/>
            <w:rFonts w:cstheme="minorHAnsi"/>
          </w:rPr>
          <w:t>19</w:t>
        </w:r>
      </w:hyperlink>
      <w:r w:rsidRPr="00717A67">
        <w:rPr>
          <w:rFonts w:cstheme="minorHAnsi"/>
          <w:color w:val="262626"/>
        </w:rPr>
        <w:t>)</w:t>
      </w:r>
    </w:p>
    <w:p w14:paraId="03B9482B" w14:textId="3CEE6163" w:rsidR="00717A67" w:rsidRPr="00717A67" w:rsidRDefault="00717A67" w:rsidP="00717A67">
      <w:pPr>
        <w:pStyle w:val="ListParagraph"/>
        <w:numPr>
          <w:ilvl w:val="2"/>
          <w:numId w:val="6"/>
        </w:numPr>
        <w:autoSpaceDE w:val="0"/>
        <w:autoSpaceDN w:val="0"/>
        <w:adjustRightInd w:val="0"/>
        <w:spacing w:before="120"/>
        <w:rPr>
          <w:rFonts w:cstheme="minorHAnsi"/>
          <w:color w:val="262626"/>
        </w:rPr>
      </w:pPr>
      <w:r w:rsidRPr="00717A67">
        <w:rPr>
          <w:rFonts w:cstheme="minorHAnsi"/>
          <w:color w:val="262626"/>
        </w:rPr>
        <w:t xml:space="preserve">The TMB noted in </w:t>
      </w:r>
      <w:r w:rsidRPr="00717A67">
        <w:rPr>
          <w:rFonts w:cstheme="minorHAnsi"/>
          <w:b/>
          <w:bCs/>
          <w:color w:val="262626"/>
        </w:rPr>
        <w:t>pediatric tumors is considerably low</w:t>
      </w:r>
      <w:r w:rsidRPr="00717A67">
        <w:rPr>
          <w:rFonts w:cstheme="minorHAnsi"/>
          <w:color w:val="262626"/>
        </w:rPr>
        <w:t xml:space="preserve"> (</w:t>
      </w:r>
      <w:hyperlink r:id="rId17" w:anchor="B20" w:history="1">
        <w:r w:rsidRPr="00717A67">
          <w:rPr>
            <w:rStyle w:val="Hyperlink"/>
            <w:rFonts w:cstheme="minorHAnsi"/>
          </w:rPr>
          <w:t>20</w:t>
        </w:r>
      </w:hyperlink>
      <w:r w:rsidRPr="00717A67">
        <w:rPr>
          <w:rFonts w:cstheme="minorHAnsi"/>
          <w:color w:val="262626"/>
        </w:rPr>
        <w:t xml:space="preserve">). However, in certain tumors, such as pediatric medulloblastoma or acute lymphoblastic leukemia, which exhibit minimal mutational burden, a strong anti-tumor immune response can be induced by </w:t>
      </w:r>
      <w:r w:rsidRPr="00717A67">
        <w:rPr>
          <w:rFonts w:cstheme="minorHAnsi"/>
          <w:b/>
          <w:bCs/>
          <w:color w:val="262626"/>
        </w:rPr>
        <w:t xml:space="preserve">high-quality neoantigens </w:t>
      </w:r>
      <w:r w:rsidRPr="00717A67">
        <w:rPr>
          <w:rFonts w:cstheme="minorHAnsi"/>
          <w:color w:val="262626"/>
        </w:rPr>
        <w:t>(</w:t>
      </w:r>
      <w:hyperlink r:id="rId18" w:anchor="B21" w:history="1">
        <w:r w:rsidRPr="00717A67">
          <w:rPr>
            <w:rStyle w:val="Hyperlink"/>
            <w:rFonts w:cstheme="minorHAnsi"/>
          </w:rPr>
          <w:t>21</w:t>
        </w:r>
      </w:hyperlink>
      <w:r w:rsidRPr="00717A67">
        <w:rPr>
          <w:rFonts w:cstheme="minorHAnsi"/>
          <w:color w:val="262626"/>
        </w:rPr>
        <w:t>, </w:t>
      </w:r>
      <w:hyperlink r:id="rId19" w:anchor="B22" w:history="1">
        <w:r w:rsidRPr="00717A67">
          <w:rPr>
            <w:rStyle w:val="Hyperlink"/>
            <w:rFonts w:cstheme="minorHAnsi"/>
          </w:rPr>
          <w:t>22</w:t>
        </w:r>
      </w:hyperlink>
      <w:r w:rsidRPr="00717A67">
        <w:rPr>
          <w:rFonts w:cstheme="minorHAnsi"/>
          <w:color w:val="262626"/>
        </w:rPr>
        <w:t>).</w:t>
      </w:r>
    </w:p>
    <w:p w14:paraId="5877D3D4" w14:textId="12A997A0" w:rsidR="00717A67" w:rsidRPr="00884111" w:rsidRDefault="00884111" w:rsidP="00717A67">
      <w:pPr>
        <w:pStyle w:val="ListParagraph"/>
        <w:numPr>
          <w:ilvl w:val="1"/>
          <w:numId w:val="6"/>
        </w:numPr>
        <w:autoSpaceDE w:val="0"/>
        <w:autoSpaceDN w:val="0"/>
        <w:adjustRightInd w:val="0"/>
        <w:spacing w:before="120"/>
        <w:rPr>
          <w:rFonts w:cstheme="minorHAnsi"/>
          <w:color w:val="262626"/>
        </w:rPr>
      </w:pPr>
      <w:r>
        <w:rPr>
          <w:rFonts w:cstheme="minorHAnsi"/>
          <w:color w:val="262626"/>
          <w:lang w:val="fr-CH"/>
        </w:rPr>
        <w:t>TNB vs TMB</w:t>
      </w:r>
    </w:p>
    <w:p w14:paraId="6B2C81B8" w14:textId="77777777" w:rsidR="00884111" w:rsidRDefault="00884111" w:rsidP="00884111">
      <w:pPr>
        <w:pStyle w:val="ListParagraph"/>
        <w:numPr>
          <w:ilvl w:val="2"/>
          <w:numId w:val="6"/>
        </w:numPr>
        <w:autoSpaceDE w:val="0"/>
        <w:autoSpaceDN w:val="0"/>
        <w:adjustRightInd w:val="0"/>
        <w:spacing w:before="120"/>
        <w:rPr>
          <w:rFonts w:cstheme="minorHAnsi"/>
          <w:color w:val="262626"/>
        </w:rPr>
      </w:pPr>
      <w:r w:rsidRPr="00884111">
        <w:rPr>
          <w:rFonts w:cstheme="minorHAnsi"/>
          <w:color w:val="262626"/>
        </w:rPr>
        <w:t xml:space="preserve">A positive correlation has been noted between TMB and TNB. </w:t>
      </w:r>
    </w:p>
    <w:p w14:paraId="3A48C219" w14:textId="77777777" w:rsidR="00884111" w:rsidRDefault="00884111" w:rsidP="00884111">
      <w:pPr>
        <w:pStyle w:val="ListParagraph"/>
        <w:numPr>
          <w:ilvl w:val="2"/>
          <w:numId w:val="6"/>
        </w:numPr>
        <w:autoSpaceDE w:val="0"/>
        <w:autoSpaceDN w:val="0"/>
        <w:adjustRightInd w:val="0"/>
        <w:spacing w:before="120"/>
        <w:rPr>
          <w:rFonts w:cstheme="minorHAnsi"/>
          <w:color w:val="262626"/>
        </w:rPr>
      </w:pPr>
      <w:r w:rsidRPr="00884111">
        <w:rPr>
          <w:rFonts w:cstheme="minorHAnsi"/>
          <w:color w:val="262626"/>
        </w:rPr>
        <w:t>However, TNB is directly used for neoantigen evaluation and may be considered an improved biomarker for immunotherapy compared with TMB (</w:t>
      </w:r>
      <w:hyperlink r:id="rId20" w:anchor="B23" w:history="1">
        <w:r w:rsidRPr="00884111">
          <w:rPr>
            <w:rStyle w:val="Hyperlink"/>
            <w:rFonts w:cstheme="minorHAnsi"/>
          </w:rPr>
          <w:t>23</w:t>
        </w:r>
      </w:hyperlink>
      <w:r w:rsidRPr="00884111">
        <w:rPr>
          <w:rFonts w:cstheme="minorHAnsi"/>
          <w:color w:val="262626"/>
        </w:rPr>
        <w:t>–</w:t>
      </w:r>
      <w:hyperlink r:id="rId21" w:anchor="B25" w:history="1">
        <w:r w:rsidRPr="00884111">
          <w:rPr>
            <w:rStyle w:val="Hyperlink"/>
            <w:rFonts w:cstheme="minorHAnsi"/>
          </w:rPr>
          <w:t>25</w:t>
        </w:r>
      </w:hyperlink>
      <w:r w:rsidRPr="00884111">
        <w:rPr>
          <w:rFonts w:cstheme="minorHAnsi"/>
          <w:color w:val="262626"/>
        </w:rPr>
        <w:t xml:space="preserve">). </w:t>
      </w:r>
    </w:p>
    <w:p w14:paraId="243149B2" w14:textId="257951ED" w:rsidR="00884111" w:rsidRPr="00884111" w:rsidRDefault="00884111" w:rsidP="00884111">
      <w:pPr>
        <w:pStyle w:val="ListParagraph"/>
        <w:numPr>
          <w:ilvl w:val="2"/>
          <w:numId w:val="6"/>
        </w:numPr>
        <w:autoSpaceDE w:val="0"/>
        <w:autoSpaceDN w:val="0"/>
        <w:adjustRightInd w:val="0"/>
        <w:spacing w:before="120"/>
        <w:rPr>
          <w:rFonts w:cstheme="minorHAnsi"/>
          <w:color w:val="262626"/>
        </w:rPr>
      </w:pPr>
      <w:r w:rsidRPr="00884111">
        <w:rPr>
          <w:rFonts w:cstheme="minorHAnsi"/>
          <w:color w:val="262626"/>
        </w:rPr>
        <w:t>High TNB was associated with durable progression-free survival (PFS) in patients with non-small cell lung cancer (NSCLC) treated with programmed death 1 (PD-1) inhibitors (</w:t>
      </w:r>
      <w:hyperlink r:id="rId22" w:anchor="B26" w:history="1">
        <w:r w:rsidRPr="00884111">
          <w:rPr>
            <w:rStyle w:val="Hyperlink"/>
            <w:rFonts w:cstheme="minorHAnsi"/>
          </w:rPr>
          <w:t>26</w:t>
        </w:r>
      </w:hyperlink>
      <w:r w:rsidRPr="00884111">
        <w:rPr>
          <w:rFonts w:cstheme="minorHAnsi"/>
          <w:color w:val="262626"/>
        </w:rPr>
        <w:t>). In addition, TNB correlated with clinical benefit in patients with metastatic melanoma treated with cytotoxic T-lymphocyte-associated protein 4 (CTLA4) inhibitors (</w:t>
      </w:r>
      <w:hyperlink r:id="rId23" w:anchor="B27" w:history="1">
        <w:r w:rsidRPr="00884111">
          <w:rPr>
            <w:rStyle w:val="Hyperlink"/>
            <w:rFonts w:cstheme="minorHAnsi"/>
          </w:rPr>
          <w:t>27</w:t>
        </w:r>
      </w:hyperlink>
      <w:r w:rsidRPr="00884111">
        <w:rPr>
          <w:rFonts w:cstheme="minorHAnsi"/>
          <w:color w:val="262626"/>
        </w:rPr>
        <w:t>). Similarly, a phase I/II trial performed in patients with stage IV melanoma demonstrated that their clinical benefit was associated with a proposed immune activation signatures score. Among the score items, high TMB and predicted TNB were significantly associated with improved PFS and overall survival (</w:t>
      </w:r>
      <w:hyperlink r:id="rId24" w:anchor="B28" w:history="1">
        <w:r w:rsidRPr="00884111">
          <w:rPr>
            <w:rStyle w:val="Hyperlink"/>
            <w:rFonts w:cstheme="minorHAnsi"/>
          </w:rPr>
          <w:t>28</w:t>
        </w:r>
      </w:hyperlink>
      <w:r w:rsidRPr="00884111">
        <w:rPr>
          <w:rFonts w:cstheme="minorHAnsi"/>
          <w:color w:val="262626"/>
        </w:rPr>
        <w:t>). The present review investigated the application of TNB as a biomarker in immunotherapy and other therapies and provided an in-depth discussion of the mechanisms, clinical application and challenges of this biomarker.</w:t>
      </w:r>
    </w:p>
    <w:p w14:paraId="74FFE2AD" w14:textId="77777777" w:rsidR="00F92054" w:rsidRPr="00D11BD6" w:rsidRDefault="00F92054" w:rsidP="00D11BD6">
      <w:pPr>
        <w:pStyle w:val="ListParagraph"/>
        <w:autoSpaceDE w:val="0"/>
        <w:autoSpaceDN w:val="0"/>
        <w:adjustRightInd w:val="0"/>
        <w:spacing w:before="120"/>
        <w:ind w:left="1800"/>
        <w:rPr>
          <w:rFonts w:cstheme="minorHAnsi"/>
          <w:color w:val="262626"/>
        </w:rPr>
      </w:pPr>
    </w:p>
    <w:p w14:paraId="39E799F8" w14:textId="77777777" w:rsidR="00375775" w:rsidRDefault="00375775" w:rsidP="00375775">
      <w:pPr>
        <w:autoSpaceDE w:val="0"/>
        <w:autoSpaceDN w:val="0"/>
        <w:adjustRightInd w:val="0"/>
        <w:spacing w:before="120"/>
        <w:rPr>
          <w:rFonts w:cstheme="minorHAnsi"/>
          <w:b/>
          <w:bCs/>
          <w:color w:val="262626"/>
          <w:lang w:val="en-GB"/>
        </w:rPr>
      </w:pPr>
      <w:r>
        <w:rPr>
          <w:rFonts w:cstheme="minorHAnsi"/>
          <w:b/>
          <w:bCs/>
          <w:color w:val="262626"/>
          <w:lang w:val="en-GB"/>
        </w:rPr>
        <w:t>Articles and online materials</w:t>
      </w:r>
    </w:p>
    <w:p w14:paraId="0EC13EBB" w14:textId="17A7EDBA" w:rsidR="00375775" w:rsidRPr="00F92054" w:rsidRDefault="00375775" w:rsidP="00375775">
      <w:pPr>
        <w:pStyle w:val="ListParagraph"/>
        <w:numPr>
          <w:ilvl w:val="0"/>
          <w:numId w:val="5"/>
        </w:numPr>
        <w:autoSpaceDE w:val="0"/>
        <w:autoSpaceDN w:val="0"/>
        <w:adjustRightInd w:val="0"/>
        <w:spacing w:before="120"/>
        <w:rPr>
          <w:rFonts w:cstheme="minorHAnsi"/>
          <w:b/>
          <w:bCs/>
          <w:color w:val="3B3838" w:themeColor="background2" w:themeShade="40"/>
          <w:kern w:val="1"/>
          <w:sz w:val="20"/>
          <w:szCs w:val="20"/>
        </w:rPr>
      </w:pPr>
      <w:r w:rsidRPr="00375775">
        <w:rPr>
          <w:rFonts w:cstheme="minorHAnsi"/>
          <w:b/>
          <w:bCs/>
          <w:color w:val="3B3838" w:themeColor="background2" w:themeShade="40"/>
          <w:kern w:val="1"/>
          <w:sz w:val="20"/>
          <w:szCs w:val="20"/>
        </w:rPr>
        <w:t>Beyond Tumor Mutation Burden: Tumor Neoantigen Burden as a Biomarker for Immunotherapy and Other Types of Therapy</w:t>
      </w:r>
      <w:r w:rsidRPr="00375775">
        <w:rPr>
          <w:rFonts w:cstheme="minorHAnsi"/>
          <w:b/>
          <w:bCs/>
          <w:color w:val="3B3838" w:themeColor="background2" w:themeShade="40"/>
          <w:kern w:val="1"/>
          <w:sz w:val="20"/>
          <w:szCs w:val="20"/>
          <w:lang w:val="fr-CH"/>
        </w:rPr>
        <w:t xml:space="preserve"> </w:t>
      </w:r>
      <w:r w:rsidRPr="00375775">
        <w:rPr>
          <w:rFonts w:cstheme="minorHAnsi"/>
          <w:b/>
          <w:bCs/>
          <w:color w:val="3B3838" w:themeColor="background2" w:themeShade="40"/>
          <w:kern w:val="1"/>
          <w:sz w:val="20"/>
          <w:szCs w:val="20"/>
        </w:rPr>
        <w:t>Front. Oncol., 29 April 2021 | </w:t>
      </w:r>
      <w:hyperlink r:id="rId25" w:history="1">
        <w:r w:rsidRPr="00375775">
          <w:rPr>
            <w:rStyle w:val="Hyperlink"/>
            <w:rFonts w:cstheme="minorHAnsi"/>
            <w:b/>
            <w:bCs/>
            <w:color w:val="3B3838" w:themeColor="background2" w:themeShade="40"/>
            <w:kern w:val="1"/>
            <w:sz w:val="20"/>
            <w:szCs w:val="20"/>
          </w:rPr>
          <w:t>https://doi.org/10.3389/fonc.2021.672677</w:t>
        </w:r>
      </w:hyperlink>
    </w:p>
    <w:p w14:paraId="20CB147E" w14:textId="77777777" w:rsidR="00F92054" w:rsidRPr="00F92054" w:rsidRDefault="00F92054" w:rsidP="00F92054">
      <w:pPr>
        <w:pStyle w:val="ListParagraph"/>
        <w:numPr>
          <w:ilvl w:val="1"/>
          <w:numId w:val="5"/>
        </w:numPr>
        <w:autoSpaceDE w:val="0"/>
        <w:autoSpaceDN w:val="0"/>
        <w:adjustRightInd w:val="0"/>
        <w:spacing w:before="120"/>
        <w:rPr>
          <w:rFonts w:cstheme="minorHAnsi"/>
          <w:b/>
          <w:bCs/>
          <w:color w:val="3B3838" w:themeColor="background2" w:themeShade="40"/>
          <w:kern w:val="1"/>
          <w:sz w:val="20"/>
          <w:szCs w:val="20"/>
        </w:rPr>
      </w:pPr>
      <w:r w:rsidRPr="00F92054">
        <w:rPr>
          <w:rFonts w:cstheme="minorHAnsi"/>
          <w:b/>
          <w:bCs/>
          <w:color w:val="3B3838" w:themeColor="background2" w:themeShade="40"/>
          <w:kern w:val="1"/>
          <w:sz w:val="20"/>
          <w:szCs w:val="20"/>
        </w:rPr>
        <w:t>the potential application of TNB as a biomarker was evaluated. </w:t>
      </w:r>
    </w:p>
    <w:p w14:paraId="25A41AEF" w14:textId="77777777" w:rsidR="00F92054" w:rsidRPr="00F92054" w:rsidRDefault="00F92054" w:rsidP="00F92054">
      <w:pPr>
        <w:pStyle w:val="ListParagraph"/>
        <w:numPr>
          <w:ilvl w:val="1"/>
          <w:numId w:val="5"/>
        </w:numPr>
        <w:autoSpaceDE w:val="0"/>
        <w:autoSpaceDN w:val="0"/>
        <w:adjustRightInd w:val="0"/>
        <w:spacing w:before="120"/>
        <w:rPr>
          <w:rFonts w:cstheme="minorHAnsi"/>
          <w:b/>
          <w:bCs/>
          <w:color w:val="3B3838" w:themeColor="background2" w:themeShade="40"/>
          <w:kern w:val="1"/>
          <w:sz w:val="20"/>
          <w:szCs w:val="20"/>
        </w:rPr>
      </w:pPr>
      <w:r w:rsidRPr="00F92054">
        <w:rPr>
          <w:rFonts w:cstheme="minorHAnsi"/>
          <w:b/>
          <w:bCs/>
          <w:color w:val="3B3838" w:themeColor="background2" w:themeShade="40"/>
          <w:kern w:val="1"/>
          <w:sz w:val="20"/>
          <w:szCs w:val="20"/>
        </w:rPr>
        <w:t>The methods of neoantigen prediction were summarized and the mechanisms involved in TNB were investigated.</w:t>
      </w:r>
    </w:p>
    <w:p w14:paraId="191CAEA0" w14:textId="77777777" w:rsidR="00F92054" w:rsidRPr="00F92054" w:rsidRDefault="00F92054" w:rsidP="00F92054">
      <w:pPr>
        <w:pStyle w:val="ListParagraph"/>
        <w:numPr>
          <w:ilvl w:val="1"/>
          <w:numId w:val="5"/>
        </w:numPr>
        <w:autoSpaceDE w:val="0"/>
        <w:autoSpaceDN w:val="0"/>
        <w:adjustRightInd w:val="0"/>
        <w:spacing w:before="120"/>
        <w:rPr>
          <w:rFonts w:cstheme="minorHAnsi"/>
          <w:b/>
          <w:bCs/>
          <w:color w:val="3B3838" w:themeColor="background2" w:themeShade="40"/>
          <w:kern w:val="1"/>
          <w:sz w:val="20"/>
          <w:szCs w:val="20"/>
        </w:rPr>
      </w:pPr>
      <w:r w:rsidRPr="00F92054">
        <w:rPr>
          <w:rFonts w:cstheme="minorHAnsi"/>
          <w:b/>
          <w:bCs/>
          <w:color w:val="3B3838" w:themeColor="background2" w:themeShade="40"/>
          <w:kern w:val="1"/>
          <w:sz w:val="20"/>
          <w:szCs w:val="20"/>
        </w:rPr>
        <w:t>The impact of high TNB and increased number of infiltrating immune cells on the efficacy of immunotherapy was also addressed. </w:t>
      </w:r>
    </w:p>
    <w:p w14:paraId="2057BB2F" w14:textId="77777777" w:rsidR="00F92054" w:rsidRPr="00375775" w:rsidRDefault="00F92054" w:rsidP="00F92054">
      <w:pPr>
        <w:pStyle w:val="ListParagraph"/>
        <w:numPr>
          <w:ilvl w:val="1"/>
          <w:numId w:val="5"/>
        </w:numPr>
        <w:autoSpaceDE w:val="0"/>
        <w:autoSpaceDN w:val="0"/>
        <w:adjustRightInd w:val="0"/>
        <w:spacing w:before="120"/>
        <w:rPr>
          <w:rFonts w:cstheme="minorHAnsi"/>
          <w:b/>
          <w:bCs/>
          <w:color w:val="3B3838" w:themeColor="background2" w:themeShade="40"/>
          <w:kern w:val="1"/>
          <w:sz w:val="20"/>
          <w:szCs w:val="20"/>
        </w:rPr>
      </w:pPr>
    </w:p>
    <w:p w14:paraId="65DE03DF" w14:textId="5C6171D3" w:rsidR="004C5EAA" w:rsidRDefault="004C5EAA" w:rsidP="00DB31FD">
      <w:pPr>
        <w:rPr>
          <w:rFonts w:asciiTheme="minorHAnsi" w:hAnsiTheme="minorHAnsi" w:cstheme="minorHAnsi"/>
        </w:rPr>
      </w:pPr>
    </w:p>
    <w:p w14:paraId="215885CB" w14:textId="6DC9C095" w:rsidR="00DB31FD" w:rsidRDefault="00DB31FD" w:rsidP="00F92054">
      <w:pPr>
        <w:ind w:left="360"/>
        <w:rPr>
          <w:rFonts w:asciiTheme="minorHAnsi" w:hAnsiTheme="minorHAnsi" w:cstheme="minorHAnsi"/>
        </w:rPr>
      </w:pPr>
      <w:r>
        <w:rPr>
          <w:rFonts w:asciiTheme="minorHAnsi" w:hAnsiTheme="minorHAnsi" w:cstheme="minorHAnsi"/>
          <w:noProof/>
        </w:rPr>
        <w:lastRenderedPageBreak/>
        <w:drawing>
          <wp:inline distT="0" distB="0" distL="0" distR="0" wp14:anchorId="6FEE080A" wp14:editId="2B89DCAC">
            <wp:extent cx="6858000" cy="4314825"/>
            <wp:effectExtent l="0" t="0" r="0" b="317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6858000" cy="4314825"/>
                    </a:xfrm>
                    <a:prstGeom prst="rect">
                      <a:avLst/>
                    </a:prstGeom>
                  </pic:spPr>
                </pic:pic>
              </a:graphicData>
            </a:graphic>
          </wp:inline>
        </w:drawing>
      </w:r>
    </w:p>
    <w:p w14:paraId="26FF0A5E" w14:textId="213D87E0" w:rsidR="00DB31FD" w:rsidRDefault="00DB31FD" w:rsidP="00F92054">
      <w:pPr>
        <w:ind w:left="360"/>
        <w:rPr>
          <w:rFonts w:asciiTheme="minorHAnsi" w:hAnsiTheme="minorHAnsi" w:cstheme="minorHAnsi"/>
        </w:rPr>
      </w:pPr>
    </w:p>
    <w:p w14:paraId="50925A0A" w14:textId="4FF0D1A0" w:rsidR="00DB31FD" w:rsidRDefault="00DB31FD" w:rsidP="00F92054">
      <w:pPr>
        <w:ind w:left="360"/>
        <w:rPr>
          <w:rFonts w:asciiTheme="minorHAnsi" w:hAnsiTheme="minorHAnsi" w:cstheme="minorHAnsi"/>
        </w:rPr>
      </w:pPr>
      <w:r>
        <w:rPr>
          <w:rFonts w:asciiTheme="minorHAnsi" w:hAnsiTheme="minorHAnsi" w:cstheme="minorHAnsi"/>
          <w:noProof/>
        </w:rPr>
        <w:drawing>
          <wp:inline distT="0" distB="0" distL="0" distR="0" wp14:anchorId="64A6BA4B" wp14:editId="58905995">
            <wp:extent cx="6858000" cy="3894455"/>
            <wp:effectExtent l="0" t="0" r="0" b="444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3894455"/>
                    </a:xfrm>
                    <a:prstGeom prst="rect">
                      <a:avLst/>
                    </a:prstGeom>
                  </pic:spPr>
                </pic:pic>
              </a:graphicData>
            </a:graphic>
          </wp:inline>
        </w:drawing>
      </w:r>
    </w:p>
    <w:p w14:paraId="08B7722C" w14:textId="00A3B670" w:rsidR="00DB31FD" w:rsidRDefault="00DB31FD" w:rsidP="00F92054">
      <w:pPr>
        <w:ind w:left="360"/>
        <w:rPr>
          <w:rFonts w:asciiTheme="minorHAnsi" w:hAnsiTheme="minorHAnsi" w:cstheme="minorHAnsi"/>
        </w:rPr>
      </w:pPr>
    </w:p>
    <w:p w14:paraId="239A9FDC" w14:textId="7DF38519" w:rsidR="00DB31FD" w:rsidRDefault="00DB31FD" w:rsidP="00F92054">
      <w:pPr>
        <w:ind w:left="360"/>
        <w:rPr>
          <w:rFonts w:asciiTheme="minorHAnsi" w:hAnsiTheme="minorHAnsi" w:cstheme="minorHAnsi"/>
        </w:rPr>
      </w:pPr>
    </w:p>
    <w:p w14:paraId="0246150C" w14:textId="55A21A17" w:rsidR="00DB31FD" w:rsidRDefault="00DB31FD" w:rsidP="00F92054">
      <w:pPr>
        <w:ind w:left="360"/>
        <w:rPr>
          <w:rFonts w:asciiTheme="minorHAnsi" w:hAnsiTheme="minorHAnsi" w:cstheme="minorHAnsi"/>
        </w:rPr>
      </w:pPr>
    </w:p>
    <w:p w14:paraId="46CFCF0E" w14:textId="2D472FBE" w:rsidR="00DB31FD" w:rsidRDefault="00DB31FD" w:rsidP="00F92054">
      <w:pPr>
        <w:ind w:left="360"/>
        <w:rPr>
          <w:rFonts w:asciiTheme="minorHAnsi" w:hAnsiTheme="minorHAnsi" w:cstheme="minorHAnsi"/>
        </w:rPr>
      </w:pPr>
    </w:p>
    <w:p w14:paraId="1EFF55D5" w14:textId="479FDF18" w:rsidR="00DB31FD" w:rsidRDefault="00DB31FD" w:rsidP="00DB31FD">
      <w:pPr>
        <w:ind w:left="360"/>
        <w:jc w:val="center"/>
        <w:rPr>
          <w:rFonts w:asciiTheme="minorHAnsi" w:hAnsiTheme="minorHAnsi" w:cstheme="minorHAnsi"/>
        </w:rPr>
      </w:pPr>
      <w:r>
        <w:rPr>
          <w:rFonts w:asciiTheme="minorHAnsi" w:hAnsiTheme="minorHAnsi" w:cstheme="minorHAnsi"/>
          <w:noProof/>
        </w:rPr>
        <w:drawing>
          <wp:inline distT="0" distB="0" distL="0" distR="0" wp14:anchorId="29F661E1" wp14:editId="7E0BFFA4">
            <wp:extent cx="4149054" cy="4935070"/>
            <wp:effectExtent l="0" t="0" r="4445" b="5715"/>
            <wp:docPr id="4" name="Picture 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66035" cy="4955268"/>
                    </a:xfrm>
                    <a:prstGeom prst="rect">
                      <a:avLst/>
                    </a:prstGeom>
                  </pic:spPr>
                </pic:pic>
              </a:graphicData>
            </a:graphic>
          </wp:inline>
        </w:drawing>
      </w:r>
    </w:p>
    <w:p w14:paraId="5B3E68E5" w14:textId="15ABA125" w:rsidR="00DB31FD" w:rsidRDefault="00DB31FD" w:rsidP="00DB31FD">
      <w:pPr>
        <w:ind w:left="360"/>
        <w:jc w:val="center"/>
        <w:rPr>
          <w:rFonts w:asciiTheme="minorHAnsi" w:hAnsiTheme="minorHAnsi" w:cstheme="minorHAnsi"/>
        </w:rPr>
      </w:pPr>
      <w:r>
        <w:rPr>
          <w:rFonts w:asciiTheme="minorHAnsi" w:hAnsiTheme="minorHAnsi" w:cstheme="minorHAnsi"/>
          <w:noProof/>
        </w:rPr>
        <w:drawing>
          <wp:inline distT="0" distB="0" distL="0" distR="0" wp14:anchorId="7451C881" wp14:editId="00FA73C6">
            <wp:extent cx="3980329" cy="3859076"/>
            <wp:effectExtent l="0" t="0" r="0" b="190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93763" cy="3872101"/>
                    </a:xfrm>
                    <a:prstGeom prst="rect">
                      <a:avLst/>
                    </a:prstGeom>
                  </pic:spPr>
                </pic:pic>
              </a:graphicData>
            </a:graphic>
          </wp:inline>
        </w:drawing>
      </w:r>
    </w:p>
    <w:p w14:paraId="4ADE85A1" w14:textId="7E3608C1" w:rsidR="00DB31FD" w:rsidRDefault="00DB31FD" w:rsidP="00DB31FD">
      <w:pPr>
        <w:ind w:left="360"/>
        <w:jc w:val="center"/>
        <w:rPr>
          <w:rFonts w:asciiTheme="minorHAnsi" w:hAnsiTheme="minorHAnsi" w:cstheme="minorHAnsi"/>
        </w:rPr>
      </w:pPr>
      <w:r>
        <w:rPr>
          <w:rFonts w:asciiTheme="minorHAnsi" w:hAnsiTheme="minorHAnsi" w:cstheme="minorHAnsi"/>
          <w:noProof/>
        </w:rPr>
        <w:lastRenderedPageBreak/>
        <w:drawing>
          <wp:inline distT="0" distB="0" distL="0" distR="0" wp14:anchorId="79FAC4BA" wp14:editId="23BC6EAD">
            <wp:extent cx="4128247" cy="3395865"/>
            <wp:effectExtent l="0" t="0" r="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36385" cy="3402559"/>
                    </a:xfrm>
                    <a:prstGeom prst="rect">
                      <a:avLst/>
                    </a:prstGeom>
                  </pic:spPr>
                </pic:pic>
              </a:graphicData>
            </a:graphic>
          </wp:inline>
        </w:drawing>
      </w:r>
    </w:p>
    <w:p w14:paraId="40D0A415" w14:textId="1F33A335" w:rsidR="00DB31FD" w:rsidRDefault="00DB31FD" w:rsidP="00F92054">
      <w:pPr>
        <w:ind w:left="360"/>
        <w:rPr>
          <w:rFonts w:asciiTheme="minorHAnsi" w:hAnsiTheme="minorHAnsi" w:cstheme="minorHAnsi"/>
        </w:rPr>
      </w:pPr>
    </w:p>
    <w:p w14:paraId="1B08D91C" w14:textId="3D7DCB22" w:rsidR="00DB31FD" w:rsidRDefault="00DB31FD" w:rsidP="00F92054">
      <w:pPr>
        <w:ind w:left="360"/>
        <w:rPr>
          <w:rFonts w:asciiTheme="minorHAnsi" w:hAnsiTheme="minorHAnsi" w:cstheme="minorHAnsi"/>
        </w:rPr>
      </w:pPr>
    </w:p>
    <w:p w14:paraId="1DE6A787" w14:textId="34B5A728" w:rsidR="00DB31FD" w:rsidRDefault="00DB31FD" w:rsidP="00F92054">
      <w:pPr>
        <w:ind w:left="360"/>
        <w:rPr>
          <w:rFonts w:asciiTheme="minorHAnsi" w:hAnsiTheme="minorHAnsi" w:cstheme="minorHAnsi"/>
        </w:rPr>
      </w:pPr>
    </w:p>
    <w:p w14:paraId="37DA7D74" w14:textId="540B8F66" w:rsidR="00DB31FD" w:rsidRDefault="00DB31FD" w:rsidP="00F92054">
      <w:pPr>
        <w:ind w:left="360"/>
        <w:rPr>
          <w:rFonts w:asciiTheme="minorHAnsi" w:hAnsiTheme="minorHAnsi" w:cstheme="minorHAnsi"/>
        </w:rPr>
      </w:pPr>
    </w:p>
    <w:p w14:paraId="5A89281A" w14:textId="3A0ED11F" w:rsidR="00DB31FD" w:rsidRDefault="00DB31FD" w:rsidP="00F92054">
      <w:pPr>
        <w:ind w:left="360"/>
        <w:rPr>
          <w:rFonts w:asciiTheme="minorHAnsi" w:hAnsiTheme="minorHAnsi" w:cstheme="minorHAnsi"/>
        </w:rPr>
      </w:pPr>
      <w:r>
        <w:rPr>
          <w:rFonts w:asciiTheme="minorHAnsi" w:hAnsiTheme="minorHAnsi" w:cstheme="minorHAnsi"/>
          <w:noProof/>
        </w:rPr>
        <w:drawing>
          <wp:inline distT="0" distB="0" distL="0" distR="0" wp14:anchorId="65796EB9" wp14:editId="4C6B639A">
            <wp:extent cx="4235824" cy="393735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43158" cy="3944173"/>
                    </a:xfrm>
                    <a:prstGeom prst="rect">
                      <a:avLst/>
                    </a:prstGeom>
                  </pic:spPr>
                </pic:pic>
              </a:graphicData>
            </a:graphic>
          </wp:inline>
        </w:drawing>
      </w:r>
    </w:p>
    <w:p w14:paraId="1C52521C" w14:textId="77777777" w:rsidR="00DB31FD" w:rsidRDefault="00DB31FD" w:rsidP="00F92054">
      <w:pPr>
        <w:ind w:left="360"/>
        <w:rPr>
          <w:rFonts w:asciiTheme="minorHAnsi" w:hAnsiTheme="minorHAnsi" w:cstheme="minorHAnsi"/>
        </w:rPr>
      </w:pPr>
    </w:p>
    <w:p w14:paraId="5C962BCA" w14:textId="081AD587" w:rsidR="00DB31FD" w:rsidRDefault="00DB31FD" w:rsidP="00F92054">
      <w:pPr>
        <w:ind w:left="360"/>
        <w:rPr>
          <w:rFonts w:asciiTheme="minorHAnsi" w:hAnsiTheme="minorHAnsi" w:cstheme="minorHAnsi"/>
        </w:rPr>
      </w:pPr>
    </w:p>
    <w:p w14:paraId="087E5A2A" w14:textId="7255A09F" w:rsidR="00DB31FD" w:rsidRDefault="00DB31FD" w:rsidP="00F92054">
      <w:pPr>
        <w:ind w:left="360"/>
        <w:rPr>
          <w:rFonts w:asciiTheme="minorHAnsi" w:hAnsiTheme="minorHAnsi" w:cstheme="minorHAnsi"/>
        </w:rPr>
      </w:pPr>
    </w:p>
    <w:p w14:paraId="071FFE22" w14:textId="71650277" w:rsidR="00DB31FD" w:rsidRDefault="00DB31FD" w:rsidP="00DB31FD">
      <w:pPr>
        <w:rPr>
          <w:rFonts w:asciiTheme="minorHAnsi" w:hAnsiTheme="minorHAnsi" w:cstheme="minorHAnsi"/>
        </w:rPr>
      </w:pPr>
    </w:p>
    <w:p w14:paraId="4B1C7E33" w14:textId="1F2244D1" w:rsidR="00DB31FD" w:rsidRDefault="00DB31FD" w:rsidP="00F92054">
      <w:pPr>
        <w:ind w:left="360"/>
        <w:rPr>
          <w:rFonts w:asciiTheme="minorHAnsi" w:hAnsiTheme="minorHAnsi" w:cstheme="minorHAnsi"/>
        </w:rPr>
      </w:pPr>
    </w:p>
    <w:p w14:paraId="00B6DB0C" w14:textId="01FE1C07" w:rsidR="00DB31FD" w:rsidRDefault="00DB31FD" w:rsidP="00F92054">
      <w:pPr>
        <w:ind w:left="360"/>
        <w:rPr>
          <w:rFonts w:asciiTheme="minorHAnsi" w:hAnsiTheme="minorHAnsi" w:cstheme="minorHAnsi"/>
        </w:rPr>
      </w:pPr>
    </w:p>
    <w:p w14:paraId="0C85E2A8" w14:textId="5629EC31" w:rsidR="00DB31FD" w:rsidRDefault="00DB31FD" w:rsidP="00DB31FD">
      <w:pPr>
        <w:ind w:left="360"/>
        <w:jc w:val="center"/>
        <w:rPr>
          <w:rFonts w:asciiTheme="minorHAnsi" w:hAnsiTheme="minorHAnsi" w:cstheme="minorHAnsi"/>
        </w:rPr>
      </w:pPr>
      <w:r>
        <w:rPr>
          <w:rFonts w:asciiTheme="minorHAnsi" w:hAnsiTheme="minorHAnsi" w:cstheme="minorHAnsi"/>
          <w:noProof/>
        </w:rPr>
        <w:drawing>
          <wp:inline distT="0" distB="0" distL="0" distR="0" wp14:anchorId="2156E5A0" wp14:editId="42ED2CCF">
            <wp:extent cx="6858000" cy="3105150"/>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3105150"/>
                    </a:xfrm>
                    <a:prstGeom prst="rect">
                      <a:avLst/>
                    </a:prstGeom>
                  </pic:spPr>
                </pic:pic>
              </a:graphicData>
            </a:graphic>
          </wp:inline>
        </w:drawing>
      </w:r>
    </w:p>
    <w:p w14:paraId="644CFE9F" w14:textId="78D0F841" w:rsidR="00DB31FD" w:rsidRDefault="00DB31FD" w:rsidP="00F92054">
      <w:pPr>
        <w:ind w:left="360"/>
        <w:rPr>
          <w:rFonts w:asciiTheme="minorHAnsi" w:hAnsiTheme="minorHAnsi" w:cstheme="minorHAnsi"/>
        </w:rPr>
      </w:pPr>
    </w:p>
    <w:p w14:paraId="03D0C09D" w14:textId="7A7A0932" w:rsidR="00DB31FD" w:rsidRDefault="00DB31FD" w:rsidP="00F92054">
      <w:pPr>
        <w:ind w:left="360"/>
        <w:rPr>
          <w:rFonts w:asciiTheme="minorHAnsi" w:hAnsiTheme="minorHAnsi" w:cstheme="minorHAnsi"/>
        </w:rPr>
      </w:pPr>
    </w:p>
    <w:p w14:paraId="36BFABEA" w14:textId="72330772" w:rsidR="00DB31FD" w:rsidRDefault="00DB31FD" w:rsidP="00F92054">
      <w:pPr>
        <w:ind w:left="360"/>
        <w:rPr>
          <w:rFonts w:asciiTheme="minorHAnsi" w:hAnsiTheme="minorHAnsi" w:cstheme="minorHAnsi"/>
        </w:rPr>
      </w:pPr>
    </w:p>
    <w:p w14:paraId="2AB19FA5" w14:textId="7B4640E6" w:rsidR="00DB31FD" w:rsidRDefault="00DB31FD" w:rsidP="00F92054">
      <w:pPr>
        <w:ind w:left="360"/>
        <w:rPr>
          <w:rFonts w:asciiTheme="minorHAnsi" w:hAnsiTheme="minorHAnsi" w:cstheme="minorHAnsi"/>
        </w:rPr>
      </w:pPr>
    </w:p>
    <w:p w14:paraId="5134AE17" w14:textId="6D078FFB" w:rsidR="00DB31FD" w:rsidRDefault="00DB31FD" w:rsidP="00F92054">
      <w:pPr>
        <w:ind w:left="360"/>
        <w:rPr>
          <w:rFonts w:asciiTheme="minorHAnsi" w:hAnsiTheme="minorHAnsi" w:cstheme="minorHAnsi"/>
        </w:rPr>
      </w:pPr>
    </w:p>
    <w:p w14:paraId="562B720A" w14:textId="5BC2CC2A" w:rsidR="00DB31FD" w:rsidRDefault="00DB31FD" w:rsidP="00F92054">
      <w:pPr>
        <w:ind w:left="360"/>
        <w:rPr>
          <w:rFonts w:asciiTheme="minorHAnsi" w:hAnsiTheme="minorHAnsi" w:cstheme="minorHAnsi"/>
        </w:rPr>
      </w:pPr>
    </w:p>
    <w:p w14:paraId="5B1F3BA0" w14:textId="583F5732" w:rsidR="00DB31FD" w:rsidRDefault="00DB31FD" w:rsidP="00F92054">
      <w:pPr>
        <w:ind w:left="360"/>
        <w:rPr>
          <w:rFonts w:asciiTheme="minorHAnsi" w:hAnsiTheme="minorHAnsi" w:cstheme="minorHAnsi"/>
        </w:rPr>
      </w:pPr>
    </w:p>
    <w:p w14:paraId="1100EC7D" w14:textId="6B7D2A49" w:rsidR="00DB31FD" w:rsidRDefault="00DB31FD" w:rsidP="00F92054">
      <w:pPr>
        <w:ind w:left="360"/>
        <w:rPr>
          <w:rFonts w:asciiTheme="minorHAnsi" w:hAnsiTheme="minorHAnsi" w:cstheme="minorHAnsi"/>
        </w:rPr>
      </w:pPr>
    </w:p>
    <w:p w14:paraId="3BCC192C" w14:textId="1FEE8122" w:rsidR="00DB31FD" w:rsidRDefault="00DB31FD" w:rsidP="00F92054">
      <w:pPr>
        <w:ind w:left="360"/>
        <w:rPr>
          <w:rFonts w:asciiTheme="minorHAnsi" w:hAnsiTheme="minorHAnsi" w:cstheme="minorHAnsi"/>
        </w:rPr>
      </w:pPr>
    </w:p>
    <w:p w14:paraId="1BDCA828" w14:textId="7B2BBFD9" w:rsidR="00DB31FD" w:rsidRDefault="00DB31FD" w:rsidP="00F92054">
      <w:pPr>
        <w:ind w:left="360"/>
        <w:rPr>
          <w:rFonts w:asciiTheme="minorHAnsi" w:hAnsiTheme="minorHAnsi" w:cstheme="minorHAnsi"/>
        </w:rPr>
      </w:pPr>
    </w:p>
    <w:p w14:paraId="586BE64F" w14:textId="3E6F55EB" w:rsidR="00DB31FD" w:rsidRDefault="00DB31FD" w:rsidP="00F92054">
      <w:pPr>
        <w:ind w:left="360"/>
        <w:rPr>
          <w:rFonts w:asciiTheme="minorHAnsi" w:hAnsiTheme="minorHAnsi" w:cstheme="minorHAnsi"/>
        </w:rPr>
      </w:pPr>
    </w:p>
    <w:p w14:paraId="503FDD74" w14:textId="3D1F971D" w:rsidR="00DB31FD" w:rsidRDefault="00DB31FD" w:rsidP="00F92054">
      <w:pPr>
        <w:ind w:left="360"/>
        <w:rPr>
          <w:rFonts w:asciiTheme="minorHAnsi" w:hAnsiTheme="minorHAnsi" w:cstheme="minorHAnsi"/>
        </w:rPr>
      </w:pPr>
    </w:p>
    <w:p w14:paraId="7FF5038E" w14:textId="75965E7C" w:rsidR="00DB31FD" w:rsidRDefault="00DB31FD" w:rsidP="00F92054">
      <w:pPr>
        <w:ind w:left="360"/>
        <w:rPr>
          <w:rFonts w:asciiTheme="minorHAnsi" w:hAnsiTheme="minorHAnsi" w:cstheme="minorHAnsi"/>
        </w:rPr>
      </w:pPr>
    </w:p>
    <w:p w14:paraId="24B3BDA6" w14:textId="1E7F53DC" w:rsidR="00DB31FD" w:rsidRDefault="00DB31FD" w:rsidP="00F92054">
      <w:pPr>
        <w:ind w:left="360"/>
        <w:rPr>
          <w:rFonts w:asciiTheme="minorHAnsi" w:hAnsiTheme="minorHAnsi" w:cstheme="minorHAnsi"/>
        </w:rPr>
      </w:pPr>
    </w:p>
    <w:p w14:paraId="15C0EE80" w14:textId="258A543B" w:rsidR="00DB31FD" w:rsidRDefault="00DB31FD" w:rsidP="00F92054">
      <w:pPr>
        <w:ind w:left="360"/>
        <w:rPr>
          <w:rFonts w:asciiTheme="minorHAnsi" w:hAnsiTheme="minorHAnsi" w:cstheme="minorHAnsi"/>
        </w:rPr>
      </w:pPr>
    </w:p>
    <w:p w14:paraId="46CE29F5" w14:textId="6E2C83A1" w:rsidR="00DB31FD" w:rsidRDefault="00DB31FD" w:rsidP="00F92054">
      <w:pPr>
        <w:ind w:left="360"/>
        <w:rPr>
          <w:rFonts w:asciiTheme="minorHAnsi" w:hAnsiTheme="minorHAnsi" w:cstheme="minorHAnsi"/>
        </w:rPr>
      </w:pPr>
    </w:p>
    <w:p w14:paraId="3CC29958" w14:textId="1081A781" w:rsidR="00DB31FD" w:rsidRDefault="00DB31FD" w:rsidP="00F92054">
      <w:pPr>
        <w:ind w:left="360"/>
        <w:rPr>
          <w:rFonts w:asciiTheme="minorHAnsi" w:hAnsiTheme="minorHAnsi" w:cstheme="minorHAnsi"/>
        </w:rPr>
      </w:pPr>
    </w:p>
    <w:p w14:paraId="5903ADDE" w14:textId="7D320BB7" w:rsidR="00DB31FD" w:rsidRDefault="00DB31FD" w:rsidP="00F92054">
      <w:pPr>
        <w:ind w:left="360"/>
        <w:rPr>
          <w:rFonts w:asciiTheme="minorHAnsi" w:hAnsiTheme="minorHAnsi" w:cstheme="minorHAnsi"/>
        </w:rPr>
      </w:pPr>
    </w:p>
    <w:p w14:paraId="03F8652B" w14:textId="6B4DD57F" w:rsidR="00DB31FD" w:rsidRDefault="00DB31FD" w:rsidP="00F92054">
      <w:pPr>
        <w:ind w:left="360"/>
        <w:rPr>
          <w:rFonts w:asciiTheme="minorHAnsi" w:hAnsiTheme="minorHAnsi" w:cstheme="minorHAnsi"/>
        </w:rPr>
      </w:pPr>
    </w:p>
    <w:p w14:paraId="24044FCA" w14:textId="77777777" w:rsidR="00DB31FD" w:rsidRDefault="00DB31FD" w:rsidP="00F92054">
      <w:pPr>
        <w:ind w:left="360"/>
        <w:rPr>
          <w:rFonts w:asciiTheme="minorHAnsi" w:hAnsiTheme="minorHAnsi" w:cstheme="minorHAnsi"/>
        </w:rPr>
      </w:pPr>
    </w:p>
    <w:p w14:paraId="7CD486BF" w14:textId="004253AA" w:rsidR="004C5EAA" w:rsidRDefault="004C5EAA" w:rsidP="00F92054">
      <w:pPr>
        <w:ind w:left="360"/>
        <w:rPr>
          <w:rFonts w:asciiTheme="minorHAnsi" w:hAnsiTheme="minorHAnsi" w:cstheme="minorHAnsi"/>
        </w:rPr>
      </w:pPr>
    </w:p>
    <w:p w14:paraId="0B90410E" w14:textId="381C7494" w:rsidR="004C5EAA" w:rsidRDefault="004C5EAA" w:rsidP="00F92054">
      <w:pPr>
        <w:ind w:left="360"/>
        <w:rPr>
          <w:rFonts w:asciiTheme="minorHAnsi" w:hAnsiTheme="minorHAnsi" w:cstheme="minorHAnsi"/>
        </w:rPr>
      </w:pPr>
    </w:p>
    <w:p w14:paraId="36B1265A" w14:textId="45191805" w:rsidR="004C5EAA" w:rsidRDefault="004C5EAA" w:rsidP="00F92054">
      <w:pPr>
        <w:ind w:left="360"/>
        <w:rPr>
          <w:rFonts w:asciiTheme="minorHAnsi" w:hAnsiTheme="minorHAnsi" w:cstheme="minorHAnsi"/>
        </w:rPr>
      </w:pPr>
    </w:p>
    <w:p w14:paraId="6EBB6309" w14:textId="25D34DB4" w:rsidR="004C5EAA" w:rsidRDefault="004C5EAA" w:rsidP="00F92054">
      <w:pPr>
        <w:ind w:left="360"/>
        <w:rPr>
          <w:rFonts w:asciiTheme="minorHAnsi" w:hAnsiTheme="minorHAnsi" w:cstheme="minorHAnsi"/>
        </w:rPr>
      </w:pPr>
    </w:p>
    <w:p w14:paraId="3658A891" w14:textId="024782AB" w:rsidR="004C5EAA" w:rsidRDefault="004C5EAA" w:rsidP="00F92054">
      <w:pPr>
        <w:ind w:left="360"/>
        <w:rPr>
          <w:rFonts w:asciiTheme="minorHAnsi" w:hAnsiTheme="minorHAnsi" w:cstheme="minorHAnsi"/>
        </w:rPr>
      </w:pPr>
    </w:p>
    <w:p w14:paraId="0C6C923F" w14:textId="3C33303D" w:rsidR="004C5EAA" w:rsidRDefault="004C5EAA" w:rsidP="00F92054">
      <w:pPr>
        <w:ind w:left="360"/>
        <w:rPr>
          <w:rFonts w:asciiTheme="minorHAnsi" w:hAnsiTheme="minorHAnsi" w:cstheme="minorHAnsi"/>
        </w:rPr>
      </w:pPr>
    </w:p>
    <w:p w14:paraId="12CE6B38" w14:textId="13F41073" w:rsidR="004C5EAA" w:rsidRDefault="004C5EAA" w:rsidP="00F92054">
      <w:pPr>
        <w:ind w:left="360"/>
        <w:rPr>
          <w:rFonts w:asciiTheme="minorHAnsi" w:hAnsiTheme="minorHAnsi" w:cstheme="minorHAnsi"/>
        </w:rPr>
      </w:pPr>
    </w:p>
    <w:p w14:paraId="1527BBBC" w14:textId="3059D85D" w:rsidR="004C5EAA" w:rsidRDefault="004C5EAA" w:rsidP="00F92054">
      <w:pPr>
        <w:ind w:left="360"/>
        <w:rPr>
          <w:rFonts w:asciiTheme="minorHAnsi" w:hAnsiTheme="minorHAnsi" w:cstheme="minorHAnsi"/>
        </w:rPr>
      </w:pPr>
    </w:p>
    <w:p w14:paraId="01CE430D" w14:textId="60EF0657" w:rsidR="004C5EAA" w:rsidRDefault="004C5EAA" w:rsidP="00F92054">
      <w:pPr>
        <w:ind w:left="360"/>
        <w:rPr>
          <w:rFonts w:asciiTheme="minorHAnsi" w:hAnsiTheme="minorHAnsi" w:cstheme="minorHAnsi"/>
        </w:rPr>
      </w:pPr>
    </w:p>
    <w:p w14:paraId="4CD30F6C" w14:textId="58038E94" w:rsidR="004C5EAA" w:rsidRDefault="004C5EAA" w:rsidP="00F92054">
      <w:pPr>
        <w:ind w:left="360"/>
        <w:rPr>
          <w:rFonts w:asciiTheme="minorHAnsi" w:hAnsiTheme="minorHAnsi" w:cstheme="minorHAnsi"/>
        </w:rPr>
      </w:pPr>
    </w:p>
    <w:p w14:paraId="1B81B6A2" w14:textId="5A4829C9" w:rsidR="004C5EAA" w:rsidRDefault="004C5EAA" w:rsidP="00F92054">
      <w:pPr>
        <w:ind w:left="360"/>
        <w:rPr>
          <w:rFonts w:asciiTheme="minorHAnsi" w:hAnsiTheme="minorHAnsi" w:cstheme="minorHAnsi"/>
        </w:rPr>
      </w:pPr>
    </w:p>
    <w:p w14:paraId="1D77E20F" w14:textId="1B280B5B" w:rsidR="004C5EAA" w:rsidRDefault="004C5EAA" w:rsidP="00F92054">
      <w:pPr>
        <w:ind w:left="360"/>
        <w:rPr>
          <w:rFonts w:asciiTheme="minorHAnsi" w:hAnsiTheme="minorHAnsi" w:cstheme="minorHAnsi"/>
        </w:rPr>
      </w:pPr>
    </w:p>
    <w:p w14:paraId="6A48547C" w14:textId="73DDFC40" w:rsidR="004C5EAA" w:rsidRDefault="004C5EAA" w:rsidP="00F92054">
      <w:pPr>
        <w:ind w:left="360"/>
        <w:rPr>
          <w:rFonts w:asciiTheme="minorHAnsi" w:hAnsiTheme="minorHAnsi" w:cstheme="minorHAnsi"/>
        </w:rPr>
      </w:pPr>
    </w:p>
    <w:p w14:paraId="26230FF9" w14:textId="2A288C84" w:rsidR="004C5EAA" w:rsidRDefault="004C5EAA" w:rsidP="00F92054">
      <w:pPr>
        <w:ind w:left="360"/>
        <w:rPr>
          <w:rFonts w:asciiTheme="minorHAnsi" w:hAnsiTheme="minorHAnsi" w:cstheme="minorHAnsi"/>
        </w:rPr>
      </w:pPr>
    </w:p>
    <w:p w14:paraId="70A35B3F" w14:textId="45F0820A" w:rsidR="004C5EAA" w:rsidRDefault="004C5EAA" w:rsidP="00F92054">
      <w:pPr>
        <w:ind w:left="360"/>
        <w:rPr>
          <w:rFonts w:asciiTheme="minorHAnsi" w:hAnsiTheme="minorHAnsi" w:cstheme="minorHAnsi"/>
        </w:rPr>
      </w:pPr>
    </w:p>
    <w:p w14:paraId="36B980BE" w14:textId="058CBAF7" w:rsidR="004C5EAA" w:rsidRDefault="004C5EAA" w:rsidP="00F92054">
      <w:pPr>
        <w:ind w:left="360"/>
        <w:rPr>
          <w:rFonts w:asciiTheme="minorHAnsi" w:hAnsiTheme="minorHAnsi" w:cstheme="minorHAnsi"/>
        </w:rPr>
      </w:pPr>
    </w:p>
    <w:p w14:paraId="02ED4337" w14:textId="63385245" w:rsidR="004C5EAA" w:rsidRDefault="004C5EAA" w:rsidP="00F92054">
      <w:pPr>
        <w:ind w:left="360"/>
        <w:rPr>
          <w:rFonts w:asciiTheme="minorHAnsi" w:hAnsiTheme="minorHAnsi" w:cstheme="minorHAnsi"/>
        </w:rPr>
      </w:pPr>
    </w:p>
    <w:p w14:paraId="02B9113E" w14:textId="10D7186C" w:rsidR="004C5EAA" w:rsidRDefault="004C5EAA" w:rsidP="00F92054">
      <w:pPr>
        <w:ind w:left="360"/>
        <w:rPr>
          <w:rFonts w:asciiTheme="minorHAnsi" w:hAnsiTheme="minorHAnsi" w:cstheme="minorHAnsi"/>
        </w:rPr>
      </w:pPr>
    </w:p>
    <w:p w14:paraId="26D090C0" w14:textId="2A4DD1FE" w:rsidR="004C5EAA" w:rsidRDefault="004C5EAA" w:rsidP="00F92054">
      <w:pPr>
        <w:ind w:left="360"/>
        <w:rPr>
          <w:rFonts w:asciiTheme="minorHAnsi" w:hAnsiTheme="minorHAnsi" w:cstheme="minorHAnsi"/>
        </w:rPr>
      </w:pPr>
    </w:p>
    <w:p w14:paraId="067DD89D" w14:textId="24EBC29F" w:rsidR="004C5EAA" w:rsidRDefault="004C5EAA" w:rsidP="00F92054">
      <w:pPr>
        <w:ind w:left="360"/>
        <w:rPr>
          <w:rFonts w:asciiTheme="minorHAnsi" w:hAnsiTheme="minorHAnsi" w:cstheme="minorHAnsi"/>
        </w:rPr>
      </w:pPr>
    </w:p>
    <w:p w14:paraId="03962176" w14:textId="318E5B39" w:rsidR="004C5EAA" w:rsidRDefault="004C5EAA" w:rsidP="00F92054">
      <w:pPr>
        <w:ind w:left="360"/>
        <w:rPr>
          <w:rFonts w:asciiTheme="minorHAnsi" w:hAnsiTheme="minorHAnsi" w:cstheme="minorHAnsi"/>
        </w:rPr>
      </w:pPr>
    </w:p>
    <w:p w14:paraId="3D4E6BC1" w14:textId="0488A0FC" w:rsidR="004C5EAA" w:rsidRDefault="004C5EAA" w:rsidP="00F92054">
      <w:pPr>
        <w:ind w:left="360"/>
        <w:rPr>
          <w:rFonts w:asciiTheme="minorHAnsi" w:hAnsiTheme="minorHAnsi" w:cstheme="minorHAnsi"/>
        </w:rPr>
      </w:pPr>
    </w:p>
    <w:p w14:paraId="08949D2C" w14:textId="485E483F" w:rsidR="004C5EAA" w:rsidRDefault="004C5EAA" w:rsidP="00F92054">
      <w:pPr>
        <w:ind w:left="360"/>
        <w:rPr>
          <w:rFonts w:asciiTheme="minorHAnsi" w:hAnsiTheme="minorHAnsi" w:cstheme="minorHAnsi"/>
        </w:rPr>
      </w:pPr>
    </w:p>
    <w:p w14:paraId="6406799E" w14:textId="67748F58" w:rsidR="004C5EAA" w:rsidRDefault="004C5EAA" w:rsidP="00F92054">
      <w:pPr>
        <w:ind w:left="360"/>
        <w:rPr>
          <w:rFonts w:asciiTheme="minorHAnsi" w:hAnsiTheme="minorHAnsi" w:cstheme="minorHAnsi"/>
        </w:rPr>
      </w:pPr>
    </w:p>
    <w:p w14:paraId="7DAC00DA" w14:textId="4AA99BE3" w:rsidR="004C5EAA" w:rsidRDefault="004C5EAA" w:rsidP="00F92054">
      <w:pPr>
        <w:ind w:left="360"/>
        <w:rPr>
          <w:rFonts w:asciiTheme="minorHAnsi" w:hAnsiTheme="minorHAnsi" w:cstheme="minorHAnsi"/>
        </w:rPr>
      </w:pPr>
    </w:p>
    <w:p w14:paraId="67CE347F" w14:textId="6CC0CE97" w:rsidR="004C5EAA" w:rsidRDefault="004C5EAA" w:rsidP="00F92054">
      <w:pPr>
        <w:ind w:left="360"/>
        <w:rPr>
          <w:rFonts w:asciiTheme="minorHAnsi" w:hAnsiTheme="minorHAnsi" w:cstheme="minorHAnsi"/>
        </w:rPr>
      </w:pPr>
    </w:p>
    <w:p w14:paraId="3BC26A9F" w14:textId="2C8121AA" w:rsidR="004C5EAA" w:rsidRDefault="004C5EAA" w:rsidP="00F92054">
      <w:pPr>
        <w:ind w:left="360"/>
        <w:rPr>
          <w:rFonts w:asciiTheme="minorHAnsi" w:hAnsiTheme="minorHAnsi" w:cstheme="minorHAnsi"/>
        </w:rPr>
      </w:pPr>
    </w:p>
    <w:p w14:paraId="70F550AB" w14:textId="0E24AF21" w:rsidR="004C5EAA" w:rsidRDefault="004C5EAA" w:rsidP="00F92054">
      <w:pPr>
        <w:ind w:left="360"/>
        <w:rPr>
          <w:rFonts w:asciiTheme="minorHAnsi" w:hAnsiTheme="minorHAnsi" w:cstheme="minorHAnsi"/>
        </w:rPr>
      </w:pPr>
    </w:p>
    <w:p w14:paraId="305F33F8" w14:textId="4F5986A9" w:rsidR="004C5EAA" w:rsidRDefault="004C5EAA" w:rsidP="00F92054">
      <w:pPr>
        <w:ind w:left="360"/>
        <w:rPr>
          <w:rFonts w:asciiTheme="minorHAnsi" w:hAnsiTheme="minorHAnsi" w:cstheme="minorHAnsi"/>
        </w:rPr>
      </w:pPr>
    </w:p>
    <w:p w14:paraId="388FEBDE" w14:textId="045881C3" w:rsidR="004C5EAA" w:rsidRDefault="004C5EAA" w:rsidP="00F92054">
      <w:pPr>
        <w:ind w:left="360"/>
        <w:rPr>
          <w:rFonts w:asciiTheme="minorHAnsi" w:hAnsiTheme="minorHAnsi" w:cstheme="minorHAnsi"/>
        </w:rPr>
      </w:pPr>
    </w:p>
    <w:p w14:paraId="5276CEB6" w14:textId="32E4F0CA" w:rsidR="004C5EAA" w:rsidRDefault="004C5EAA" w:rsidP="00F92054">
      <w:pPr>
        <w:ind w:left="360"/>
        <w:rPr>
          <w:rFonts w:asciiTheme="minorHAnsi" w:hAnsiTheme="minorHAnsi" w:cstheme="minorHAnsi"/>
        </w:rPr>
      </w:pPr>
    </w:p>
    <w:p w14:paraId="13F6329A" w14:textId="670000C7" w:rsidR="004C5EAA" w:rsidRDefault="004C5EAA" w:rsidP="00F92054">
      <w:pPr>
        <w:ind w:left="360"/>
        <w:rPr>
          <w:rFonts w:asciiTheme="minorHAnsi" w:hAnsiTheme="minorHAnsi" w:cstheme="minorHAnsi"/>
        </w:rPr>
      </w:pPr>
    </w:p>
    <w:p w14:paraId="062AD366" w14:textId="33FCA242" w:rsidR="004C5EAA" w:rsidRDefault="004C5EAA" w:rsidP="00F92054">
      <w:pPr>
        <w:ind w:left="360"/>
        <w:rPr>
          <w:rFonts w:asciiTheme="minorHAnsi" w:hAnsiTheme="minorHAnsi" w:cstheme="minorHAnsi"/>
        </w:rPr>
      </w:pPr>
    </w:p>
    <w:p w14:paraId="7DE98C46" w14:textId="03B75285" w:rsidR="004C5EAA" w:rsidRDefault="004C5EAA" w:rsidP="00F92054">
      <w:pPr>
        <w:ind w:left="360"/>
        <w:rPr>
          <w:rFonts w:asciiTheme="minorHAnsi" w:hAnsiTheme="minorHAnsi" w:cstheme="minorHAnsi"/>
        </w:rPr>
      </w:pPr>
    </w:p>
    <w:p w14:paraId="2AE559D0" w14:textId="3BB33B75" w:rsidR="004C5EAA" w:rsidRDefault="004C5EAA" w:rsidP="00F92054">
      <w:pPr>
        <w:ind w:left="360"/>
        <w:rPr>
          <w:rFonts w:asciiTheme="minorHAnsi" w:hAnsiTheme="minorHAnsi" w:cstheme="minorHAnsi"/>
        </w:rPr>
      </w:pPr>
    </w:p>
    <w:p w14:paraId="65FCC880" w14:textId="2DA4BDE7" w:rsidR="004C5EAA" w:rsidRDefault="004C5EAA" w:rsidP="00F92054">
      <w:pPr>
        <w:ind w:left="360"/>
        <w:rPr>
          <w:rFonts w:asciiTheme="minorHAnsi" w:hAnsiTheme="minorHAnsi" w:cstheme="minorHAnsi"/>
        </w:rPr>
      </w:pPr>
    </w:p>
    <w:p w14:paraId="241613DF" w14:textId="7E051A64" w:rsidR="004C5EAA" w:rsidRDefault="004C5EAA" w:rsidP="00F92054">
      <w:pPr>
        <w:ind w:left="360"/>
        <w:rPr>
          <w:rFonts w:asciiTheme="minorHAnsi" w:hAnsiTheme="minorHAnsi" w:cstheme="minorHAnsi"/>
        </w:rPr>
      </w:pPr>
    </w:p>
    <w:p w14:paraId="24D25A01" w14:textId="34D38C97" w:rsidR="004C5EAA" w:rsidRDefault="004C5EAA" w:rsidP="00F92054">
      <w:pPr>
        <w:ind w:left="360"/>
        <w:rPr>
          <w:rFonts w:asciiTheme="minorHAnsi" w:hAnsiTheme="minorHAnsi" w:cstheme="minorHAnsi"/>
        </w:rPr>
      </w:pPr>
    </w:p>
    <w:p w14:paraId="32C5477C" w14:textId="55543697" w:rsidR="004C5EAA" w:rsidRDefault="004C5EAA" w:rsidP="00F92054">
      <w:pPr>
        <w:ind w:left="360"/>
        <w:rPr>
          <w:rFonts w:asciiTheme="minorHAnsi" w:hAnsiTheme="minorHAnsi" w:cstheme="minorHAnsi"/>
        </w:rPr>
      </w:pPr>
    </w:p>
    <w:p w14:paraId="1ABF10D4" w14:textId="77777777" w:rsidR="004C5EAA" w:rsidRPr="00AB0C51" w:rsidRDefault="004C5EAA" w:rsidP="00F92054">
      <w:pPr>
        <w:ind w:left="360"/>
        <w:rPr>
          <w:rFonts w:asciiTheme="minorHAnsi" w:hAnsiTheme="minorHAnsi" w:cstheme="minorHAnsi"/>
        </w:rPr>
      </w:pPr>
    </w:p>
    <w:sectPr w:rsidR="004C5EAA" w:rsidRPr="00AB0C51" w:rsidSect="00AB0C51">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555F0"/>
    <w:multiLevelType w:val="hybridMultilevel"/>
    <w:tmpl w:val="2C60CB80"/>
    <w:lvl w:ilvl="0" w:tplc="44F2835C">
      <w:start w:val="1"/>
      <w:numFmt w:val="bullet"/>
      <w:lvlText w:val="o"/>
      <w:lvlJc w:val="left"/>
      <w:pPr>
        <w:ind w:left="360" w:hanging="360"/>
      </w:pPr>
      <w:rPr>
        <w:rFonts w:ascii="Courier New" w:hAnsi="Courier New"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086005"/>
    <w:multiLevelType w:val="hybridMultilevel"/>
    <w:tmpl w:val="D7009344"/>
    <w:lvl w:ilvl="0" w:tplc="4CA6F920">
      <w:numFmt w:val="bullet"/>
      <w:lvlText w:val=""/>
      <w:lvlJc w:val="left"/>
      <w:pPr>
        <w:ind w:left="360" w:hanging="360"/>
      </w:pPr>
      <w:rPr>
        <w:rFonts w:ascii="Symbol" w:eastAsiaTheme="minorHAnsi" w:hAnsi="Symbol" w:cstheme="minorHAnsi" w:hint="default"/>
        <w:color w:val="18191B"/>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6E450F1"/>
    <w:multiLevelType w:val="hybridMultilevel"/>
    <w:tmpl w:val="DF08DFEC"/>
    <w:lvl w:ilvl="0" w:tplc="44F2835C">
      <w:start w:val="1"/>
      <w:numFmt w:val="bullet"/>
      <w:lvlText w:val="o"/>
      <w:lvlJc w:val="left"/>
      <w:pPr>
        <w:ind w:left="360" w:hanging="360"/>
      </w:pPr>
      <w:rPr>
        <w:rFonts w:ascii="Courier New" w:hAnsi="Courier New" w:hint="default"/>
        <w:color w:val="18191B"/>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420861C2"/>
    <w:multiLevelType w:val="hybridMultilevel"/>
    <w:tmpl w:val="1042F9F2"/>
    <w:lvl w:ilvl="0" w:tplc="44F2835C">
      <w:start w:val="1"/>
      <w:numFmt w:val="bullet"/>
      <w:lvlText w:val="o"/>
      <w:lvlJc w:val="left"/>
      <w:pPr>
        <w:ind w:left="360" w:hanging="360"/>
      </w:pPr>
      <w:rPr>
        <w:rFonts w:ascii="Courier New" w:hAnsi="Courier New"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EAF42C8"/>
    <w:multiLevelType w:val="hybridMultilevel"/>
    <w:tmpl w:val="897276BE"/>
    <w:lvl w:ilvl="0" w:tplc="6F86F50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4231AAF"/>
    <w:multiLevelType w:val="hybridMultilevel"/>
    <w:tmpl w:val="BC06C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0B65C3"/>
    <w:multiLevelType w:val="hybridMultilevel"/>
    <w:tmpl w:val="6232B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1754189">
    <w:abstractNumId w:val="5"/>
  </w:num>
  <w:num w:numId="2" w16cid:durableId="1942835691">
    <w:abstractNumId w:val="6"/>
  </w:num>
  <w:num w:numId="3" w16cid:durableId="912280478">
    <w:abstractNumId w:val="1"/>
  </w:num>
  <w:num w:numId="4" w16cid:durableId="1962876034">
    <w:abstractNumId w:val="2"/>
  </w:num>
  <w:num w:numId="5" w16cid:durableId="2127920319">
    <w:abstractNumId w:val="0"/>
  </w:num>
  <w:num w:numId="6" w16cid:durableId="697895050">
    <w:abstractNumId w:val="4"/>
  </w:num>
  <w:num w:numId="7" w16cid:durableId="2131627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C51"/>
    <w:rsid w:val="00171A17"/>
    <w:rsid w:val="00375775"/>
    <w:rsid w:val="004A322D"/>
    <w:rsid w:val="004C5EAA"/>
    <w:rsid w:val="006147B6"/>
    <w:rsid w:val="00717A67"/>
    <w:rsid w:val="00780588"/>
    <w:rsid w:val="00884111"/>
    <w:rsid w:val="009A5689"/>
    <w:rsid w:val="00AB0C51"/>
    <w:rsid w:val="00B9455A"/>
    <w:rsid w:val="00C66F7B"/>
    <w:rsid w:val="00D11BD6"/>
    <w:rsid w:val="00DB31FD"/>
    <w:rsid w:val="00F9205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E4C7"/>
  <w15:chartTrackingRefBased/>
  <w15:docId w15:val="{DA06D284-9110-324F-BC86-18DC73AC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111"/>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C51"/>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C66F7B"/>
    <w:rPr>
      <w:color w:val="0563C1" w:themeColor="hyperlink"/>
      <w:u w:val="single"/>
    </w:rPr>
  </w:style>
  <w:style w:type="character" w:styleId="UnresolvedMention">
    <w:name w:val="Unresolved Mention"/>
    <w:basedOn w:val="DefaultParagraphFont"/>
    <w:uiPriority w:val="99"/>
    <w:semiHidden/>
    <w:unhideWhenUsed/>
    <w:rsid w:val="00C66F7B"/>
    <w:rPr>
      <w:color w:val="605E5C"/>
      <w:shd w:val="clear" w:color="auto" w:fill="E1DFDD"/>
    </w:rPr>
  </w:style>
  <w:style w:type="character" w:styleId="FollowedHyperlink">
    <w:name w:val="FollowedHyperlink"/>
    <w:basedOn w:val="DefaultParagraphFont"/>
    <w:uiPriority w:val="99"/>
    <w:semiHidden/>
    <w:unhideWhenUsed/>
    <w:rsid w:val="00717A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391">
      <w:bodyDiv w:val="1"/>
      <w:marLeft w:val="0"/>
      <w:marRight w:val="0"/>
      <w:marTop w:val="0"/>
      <w:marBottom w:val="0"/>
      <w:divBdr>
        <w:top w:val="none" w:sz="0" w:space="0" w:color="auto"/>
        <w:left w:val="none" w:sz="0" w:space="0" w:color="auto"/>
        <w:bottom w:val="none" w:sz="0" w:space="0" w:color="auto"/>
        <w:right w:val="none" w:sz="0" w:space="0" w:color="auto"/>
      </w:divBdr>
    </w:div>
    <w:div w:id="169493381">
      <w:bodyDiv w:val="1"/>
      <w:marLeft w:val="0"/>
      <w:marRight w:val="0"/>
      <w:marTop w:val="0"/>
      <w:marBottom w:val="0"/>
      <w:divBdr>
        <w:top w:val="none" w:sz="0" w:space="0" w:color="auto"/>
        <w:left w:val="none" w:sz="0" w:space="0" w:color="auto"/>
        <w:bottom w:val="none" w:sz="0" w:space="0" w:color="auto"/>
        <w:right w:val="none" w:sz="0" w:space="0" w:color="auto"/>
      </w:divBdr>
    </w:div>
    <w:div w:id="227035197">
      <w:bodyDiv w:val="1"/>
      <w:marLeft w:val="0"/>
      <w:marRight w:val="0"/>
      <w:marTop w:val="0"/>
      <w:marBottom w:val="0"/>
      <w:divBdr>
        <w:top w:val="none" w:sz="0" w:space="0" w:color="auto"/>
        <w:left w:val="none" w:sz="0" w:space="0" w:color="auto"/>
        <w:bottom w:val="none" w:sz="0" w:space="0" w:color="auto"/>
        <w:right w:val="none" w:sz="0" w:space="0" w:color="auto"/>
      </w:divBdr>
    </w:div>
    <w:div w:id="298221194">
      <w:bodyDiv w:val="1"/>
      <w:marLeft w:val="0"/>
      <w:marRight w:val="0"/>
      <w:marTop w:val="0"/>
      <w:marBottom w:val="0"/>
      <w:divBdr>
        <w:top w:val="none" w:sz="0" w:space="0" w:color="auto"/>
        <w:left w:val="none" w:sz="0" w:space="0" w:color="auto"/>
        <w:bottom w:val="none" w:sz="0" w:space="0" w:color="auto"/>
        <w:right w:val="none" w:sz="0" w:space="0" w:color="auto"/>
      </w:divBdr>
      <w:divsChild>
        <w:div w:id="2122919586">
          <w:marLeft w:val="0"/>
          <w:marRight w:val="0"/>
          <w:marTop w:val="0"/>
          <w:marBottom w:val="0"/>
          <w:divBdr>
            <w:top w:val="none" w:sz="0" w:space="0" w:color="auto"/>
            <w:left w:val="none" w:sz="0" w:space="0" w:color="auto"/>
            <w:bottom w:val="none" w:sz="0" w:space="0" w:color="auto"/>
            <w:right w:val="none" w:sz="0" w:space="0" w:color="auto"/>
          </w:divBdr>
          <w:divsChild>
            <w:div w:id="1711222570">
              <w:marLeft w:val="0"/>
              <w:marRight w:val="0"/>
              <w:marTop w:val="0"/>
              <w:marBottom w:val="0"/>
              <w:divBdr>
                <w:top w:val="none" w:sz="0" w:space="0" w:color="auto"/>
                <w:left w:val="none" w:sz="0" w:space="0" w:color="auto"/>
                <w:bottom w:val="none" w:sz="0" w:space="0" w:color="auto"/>
                <w:right w:val="none" w:sz="0" w:space="0" w:color="auto"/>
              </w:divBdr>
              <w:divsChild>
                <w:div w:id="577516270">
                  <w:marLeft w:val="0"/>
                  <w:marRight w:val="0"/>
                  <w:marTop w:val="0"/>
                  <w:marBottom w:val="0"/>
                  <w:divBdr>
                    <w:top w:val="none" w:sz="0" w:space="0" w:color="auto"/>
                    <w:left w:val="none" w:sz="0" w:space="0" w:color="auto"/>
                    <w:bottom w:val="none" w:sz="0" w:space="0" w:color="auto"/>
                    <w:right w:val="none" w:sz="0" w:space="0" w:color="auto"/>
                  </w:divBdr>
                  <w:divsChild>
                    <w:div w:id="804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130020">
      <w:bodyDiv w:val="1"/>
      <w:marLeft w:val="0"/>
      <w:marRight w:val="0"/>
      <w:marTop w:val="0"/>
      <w:marBottom w:val="0"/>
      <w:divBdr>
        <w:top w:val="none" w:sz="0" w:space="0" w:color="auto"/>
        <w:left w:val="none" w:sz="0" w:space="0" w:color="auto"/>
        <w:bottom w:val="none" w:sz="0" w:space="0" w:color="auto"/>
        <w:right w:val="none" w:sz="0" w:space="0" w:color="auto"/>
      </w:divBdr>
    </w:div>
    <w:div w:id="613829293">
      <w:bodyDiv w:val="1"/>
      <w:marLeft w:val="0"/>
      <w:marRight w:val="0"/>
      <w:marTop w:val="0"/>
      <w:marBottom w:val="0"/>
      <w:divBdr>
        <w:top w:val="none" w:sz="0" w:space="0" w:color="auto"/>
        <w:left w:val="none" w:sz="0" w:space="0" w:color="auto"/>
        <w:bottom w:val="none" w:sz="0" w:space="0" w:color="auto"/>
        <w:right w:val="none" w:sz="0" w:space="0" w:color="auto"/>
      </w:divBdr>
    </w:div>
    <w:div w:id="644815283">
      <w:bodyDiv w:val="1"/>
      <w:marLeft w:val="0"/>
      <w:marRight w:val="0"/>
      <w:marTop w:val="0"/>
      <w:marBottom w:val="0"/>
      <w:divBdr>
        <w:top w:val="none" w:sz="0" w:space="0" w:color="auto"/>
        <w:left w:val="none" w:sz="0" w:space="0" w:color="auto"/>
        <w:bottom w:val="none" w:sz="0" w:space="0" w:color="auto"/>
        <w:right w:val="none" w:sz="0" w:space="0" w:color="auto"/>
      </w:divBdr>
    </w:div>
    <w:div w:id="716704947">
      <w:bodyDiv w:val="1"/>
      <w:marLeft w:val="0"/>
      <w:marRight w:val="0"/>
      <w:marTop w:val="0"/>
      <w:marBottom w:val="0"/>
      <w:divBdr>
        <w:top w:val="none" w:sz="0" w:space="0" w:color="auto"/>
        <w:left w:val="none" w:sz="0" w:space="0" w:color="auto"/>
        <w:bottom w:val="none" w:sz="0" w:space="0" w:color="auto"/>
        <w:right w:val="none" w:sz="0" w:space="0" w:color="auto"/>
      </w:divBdr>
    </w:div>
    <w:div w:id="777220966">
      <w:bodyDiv w:val="1"/>
      <w:marLeft w:val="0"/>
      <w:marRight w:val="0"/>
      <w:marTop w:val="0"/>
      <w:marBottom w:val="0"/>
      <w:divBdr>
        <w:top w:val="none" w:sz="0" w:space="0" w:color="auto"/>
        <w:left w:val="none" w:sz="0" w:space="0" w:color="auto"/>
        <w:bottom w:val="none" w:sz="0" w:space="0" w:color="auto"/>
        <w:right w:val="none" w:sz="0" w:space="0" w:color="auto"/>
      </w:divBdr>
    </w:div>
    <w:div w:id="825046658">
      <w:bodyDiv w:val="1"/>
      <w:marLeft w:val="0"/>
      <w:marRight w:val="0"/>
      <w:marTop w:val="0"/>
      <w:marBottom w:val="0"/>
      <w:divBdr>
        <w:top w:val="none" w:sz="0" w:space="0" w:color="auto"/>
        <w:left w:val="none" w:sz="0" w:space="0" w:color="auto"/>
        <w:bottom w:val="none" w:sz="0" w:space="0" w:color="auto"/>
        <w:right w:val="none" w:sz="0" w:space="0" w:color="auto"/>
      </w:divBdr>
    </w:div>
    <w:div w:id="1060590723">
      <w:bodyDiv w:val="1"/>
      <w:marLeft w:val="0"/>
      <w:marRight w:val="0"/>
      <w:marTop w:val="0"/>
      <w:marBottom w:val="0"/>
      <w:divBdr>
        <w:top w:val="none" w:sz="0" w:space="0" w:color="auto"/>
        <w:left w:val="none" w:sz="0" w:space="0" w:color="auto"/>
        <w:bottom w:val="none" w:sz="0" w:space="0" w:color="auto"/>
        <w:right w:val="none" w:sz="0" w:space="0" w:color="auto"/>
      </w:divBdr>
    </w:div>
    <w:div w:id="1157846813">
      <w:bodyDiv w:val="1"/>
      <w:marLeft w:val="0"/>
      <w:marRight w:val="0"/>
      <w:marTop w:val="0"/>
      <w:marBottom w:val="0"/>
      <w:divBdr>
        <w:top w:val="none" w:sz="0" w:space="0" w:color="auto"/>
        <w:left w:val="none" w:sz="0" w:space="0" w:color="auto"/>
        <w:bottom w:val="none" w:sz="0" w:space="0" w:color="auto"/>
        <w:right w:val="none" w:sz="0" w:space="0" w:color="auto"/>
      </w:divBdr>
    </w:div>
    <w:div w:id="1171027452">
      <w:bodyDiv w:val="1"/>
      <w:marLeft w:val="0"/>
      <w:marRight w:val="0"/>
      <w:marTop w:val="0"/>
      <w:marBottom w:val="0"/>
      <w:divBdr>
        <w:top w:val="none" w:sz="0" w:space="0" w:color="auto"/>
        <w:left w:val="none" w:sz="0" w:space="0" w:color="auto"/>
        <w:bottom w:val="none" w:sz="0" w:space="0" w:color="auto"/>
        <w:right w:val="none" w:sz="0" w:space="0" w:color="auto"/>
      </w:divBdr>
    </w:div>
    <w:div w:id="1316379749">
      <w:bodyDiv w:val="1"/>
      <w:marLeft w:val="0"/>
      <w:marRight w:val="0"/>
      <w:marTop w:val="0"/>
      <w:marBottom w:val="0"/>
      <w:divBdr>
        <w:top w:val="none" w:sz="0" w:space="0" w:color="auto"/>
        <w:left w:val="none" w:sz="0" w:space="0" w:color="auto"/>
        <w:bottom w:val="none" w:sz="0" w:space="0" w:color="auto"/>
        <w:right w:val="none" w:sz="0" w:space="0" w:color="auto"/>
      </w:divBdr>
    </w:div>
    <w:div w:id="1344019340">
      <w:bodyDiv w:val="1"/>
      <w:marLeft w:val="0"/>
      <w:marRight w:val="0"/>
      <w:marTop w:val="0"/>
      <w:marBottom w:val="0"/>
      <w:divBdr>
        <w:top w:val="none" w:sz="0" w:space="0" w:color="auto"/>
        <w:left w:val="none" w:sz="0" w:space="0" w:color="auto"/>
        <w:bottom w:val="none" w:sz="0" w:space="0" w:color="auto"/>
        <w:right w:val="none" w:sz="0" w:space="0" w:color="auto"/>
      </w:divBdr>
    </w:div>
    <w:div w:id="1416391516">
      <w:bodyDiv w:val="1"/>
      <w:marLeft w:val="0"/>
      <w:marRight w:val="0"/>
      <w:marTop w:val="0"/>
      <w:marBottom w:val="0"/>
      <w:divBdr>
        <w:top w:val="none" w:sz="0" w:space="0" w:color="auto"/>
        <w:left w:val="none" w:sz="0" w:space="0" w:color="auto"/>
        <w:bottom w:val="none" w:sz="0" w:space="0" w:color="auto"/>
        <w:right w:val="none" w:sz="0" w:space="0" w:color="auto"/>
      </w:divBdr>
      <w:divsChild>
        <w:div w:id="1458720812">
          <w:marLeft w:val="0"/>
          <w:marRight w:val="0"/>
          <w:marTop w:val="0"/>
          <w:marBottom w:val="0"/>
          <w:divBdr>
            <w:top w:val="none" w:sz="0" w:space="0" w:color="auto"/>
            <w:left w:val="none" w:sz="0" w:space="0" w:color="auto"/>
            <w:bottom w:val="none" w:sz="0" w:space="0" w:color="auto"/>
            <w:right w:val="none" w:sz="0" w:space="0" w:color="auto"/>
          </w:divBdr>
          <w:divsChild>
            <w:div w:id="1107651844">
              <w:marLeft w:val="0"/>
              <w:marRight w:val="0"/>
              <w:marTop w:val="0"/>
              <w:marBottom w:val="0"/>
              <w:divBdr>
                <w:top w:val="none" w:sz="0" w:space="0" w:color="auto"/>
                <w:left w:val="none" w:sz="0" w:space="0" w:color="auto"/>
                <w:bottom w:val="none" w:sz="0" w:space="0" w:color="auto"/>
                <w:right w:val="none" w:sz="0" w:space="0" w:color="auto"/>
              </w:divBdr>
              <w:divsChild>
                <w:div w:id="1234701154">
                  <w:marLeft w:val="0"/>
                  <w:marRight w:val="0"/>
                  <w:marTop w:val="0"/>
                  <w:marBottom w:val="0"/>
                  <w:divBdr>
                    <w:top w:val="none" w:sz="0" w:space="0" w:color="auto"/>
                    <w:left w:val="none" w:sz="0" w:space="0" w:color="auto"/>
                    <w:bottom w:val="none" w:sz="0" w:space="0" w:color="auto"/>
                    <w:right w:val="none" w:sz="0" w:space="0" w:color="auto"/>
                  </w:divBdr>
                  <w:divsChild>
                    <w:div w:id="3636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050030">
      <w:bodyDiv w:val="1"/>
      <w:marLeft w:val="0"/>
      <w:marRight w:val="0"/>
      <w:marTop w:val="0"/>
      <w:marBottom w:val="0"/>
      <w:divBdr>
        <w:top w:val="none" w:sz="0" w:space="0" w:color="auto"/>
        <w:left w:val="none" w:sz="0" w:space="0" w:color="auto"/>
        <w:bottom w:val="none" w:sz="0" w:space="0" w:color="auto"/>
        <w:right w:val="none" w:sz="0" w:space="0" w:color="auto"/>
      </w:divBdr>
    </w:div>
    <w:div w:id="1461075325">
      <w:bodyDiv w:val="1"/>
      <w:marLeft w:val="0"/>
      <w:marRight w:val="0"/>
      <w:marTop w:val="0"/>
      <w:marBottom w:val="0"/>
      <w:divBdr>
        <w:top w:val="none" w:sz="0" w:space="0" w:color="auto"/>
        <w:left w:val="none" w:sz="0" w:space="0" w:color="auto"/>
        <w:bottom w:val="none" w:sz="0" w:space="0" w:color="auto"/>
        <w:right w:val="none" w:sz="0" w:space="0" w:color="auto"/>
      </w:divBdr>
    </w:div>
    <w:div w:id="1482231712">
      <w:bodyDiv w:val="1"/>
      <w:marLeft w:val="0"/>
      <w:marRight w:val="0"/>
      <w:marTop w:val="0"/>
      <w:marBottom w:val="0"/>
      <w:divBdr>
        <w:top w:val="none" w:sz="0" w:space="0" w:color="auto"/>
        <w:left w:val="none" w:sz="0" w:space="0" w:color="auto"/>
        <w:bottom w:val="none" w:sz="0" w:space="0" w:color="auto"/>
        <w:right w:val="none" w:sz="0" w:space="0" w:color="auto"/>
      </w:divBdr>
    </w:div>
    <w:div w:id="1517959873">
      <w:bodyDiv w:val="1"/>
      <w:marLeft w:val="0"/>
      <w:marRight w:val="0"/>
      <w:marTop w:val="0"/>
      <w:marBottom w:val="0"/>
      <w:divBdr>
        <w:top w:val="none" w:sz="0" w:space="0" w:color="auto"/>
        <w:left w:val="none" w:sz="0" w:space="0" w:color="auto"/>
        <w:bottom w:val="none" w:sz="0" w:space="0" w:color="auto"/>
        <w:right w:val="none" w:sz="0" w:space="0" w:color="auto"/>
      </w:divBdr>
    </w:div>
    <w:div w:id="1523350845">
      <w:bodyDiv w:val="1"/>
      <w:marLeft w:val="0"/>
      <w:marRight w:val="0"/>
      <w:marTop w:val="0"/>
      <w:marBottom w:val="0"/>
      <w:divBdr>
        <w:top w:val="none" w:sz="0" w:space="0" w:color="auto"/>
        <w:left w:val="none" w:sz="0" w:space="0" w:color="auto"/>
        <w:bottom w:val="none" w:sz="0" w:space="0" w:color="auto"/>
        <w:right w:val="none" w:sz="0" w:space="0" w:color="auto"/>
      </w:divBdr>
    </w:div>
    <w:div w:id="1685400626">
      <w:bodyDiv w:val="1"/>
      <w:marLeft w:val="0"/>
      <w:marRight w:val="0"/>
      <w:marTop w:val="0"/>
      <w:marBottom w:val="0"/>
      <w:divBdr>
        <w:top w:val="none" w:sz="0" w:space="0" w:color="auto"/>
        <w:left w:val="none" w:sz="0" w:space="0" w:color="auto"/>
        <w:bottom w:val="none" w:sz="0" w:space="0" w:color="auto"/>
        <w:right w:val="none" w:sz="0" w:space="0" w:color="auto"/>
      </w:divBdr>
    </w:div>
    <w:div w:id="1776443244">
      <w:bodyDiv w:val="1"/>
      <w:marLeft w:val="0"/>
      <w:marRight w:val="0"/>
      <w:marTop w:val="0"/>
      <w:marBottom w:val="0"/>
      <w:divBdr>
        <w:top w:val="none" w:sz="0" w:space="0" w:color="auto"/>
        <w:left w:val="none" w:sz="0" w:space="0" w:color="auto"/>
        <w:bottom w:val="none" w:sz="0" w:space="0" w:color="auto"/>
        <w:right w:val="none" w:sz="0" w:space="0" w:color="auto"/>
      </w:divBdr>
    </w:div>
    <w:div w:id="1777677439">
      <w:bodyDiv w:val="1"/>
      <w:marLeft w:val="0"/>
      <w:marRight w:val="0"/>
      <w:marTop w:val="0"/>
      <w:marBottom w:val="0"/>
      <w:divBdr>
        <w:top w:val="none" w:sz="0" w:space="0" w:color="auto"/>
        <w:left w:val="none" w:sz="0" w:space="0" w:color="auto"/>
        <w:bottom w:val="none" w:sz="0" w:space="0" w:color="auto"/>
        <w:right w:val="none" w:sz="0" w:space="0" w:color="auto"/>
      </w:divBdr>
    </w:div>
    <w:div w:id="1822497178">
      <w:bodyDiv w:val="1"/>
      <w:marLeft w:val="0"/>
      <w:marRight w:val="0"/>
      <w:marTop w:val="0"/>
      <w:marBottom w:val="0"/>
      <w:divBdr>
        <w:top w:val="none" w:sz="0" w:space="0" w:color="auto"/>
        <w:left w:val="none" w:sz="0" w:space="0" w:color="auto"/>
        <w:bottom w:val="none" w:sz="0" w:space="0" w:color="auto"/>
        <w:right w:val="none" w:sz="0" w:space="0" w:color="auto"/>
      </w:divBdr>
    </w:div>
    <w:div w:id="1852256395">
      <w:bodyDiv w:val="1"/>
      <w:marLeft w:val="0"/>
      <w:marRight w:val="0"/>
      <w:marTop w:val="0"/>
      <w:marBottom w:val="0"/>
      <w:divBdr>
        <w:top w:val="none" w:sz="0" w:space="0" w:color="auto"/>
        <w:left w:val="none" w:sz="0" w:space="0" w:color="auto"/>
        <w:bottom w:val="none" w:sz="0" w:space="0" w:color="auto"/>
        <w:right w:val="none" w:sz="0" w:space="0" w:color="auto"/>
      </w:divBdr>
    </w:div>
    <w:div w:id="2044357769">
      <w:bodyDiv w:val="1"/>
      <w:marLeft w:val="0"/>
      <w:marRight w:val="0"/>
      <w:marTop w:val="0"/>
      <w:marBottom w:val="0"/>
      <w:divBdr>
        <w:top w:val="none" w:sz="0" w:space="0" w:color="auto"/>
        <w:left w:val="none" w:sz="0" w:space="0" w:color="auto"/>
        <w:bottom w:val="none" w:sz="0" w:space="0" w:color="auto"/>
        <w:right w:val="none" w:sz="0" w:space="0" w:color="auto"/>
      </w:divBdr>
      <w:divsChild>
        <w:div w:id="596791181">
          <w:marLeft w:val="0"/>
          <w:marRight w:val="0"/>
          <w:marTop w:val="0"/>
          <w:marBottom w:val="0"/>
          <w:divBdr>
            <w:top w:val="none" w:sz="0" w:space="0" w:color="auto"/>
            <w:left w:val="none" w:sz="0" w:space="0" w:color="auto"/>
            <w:bottom w:val="none" w:sz="0" w:space="0" w:color="auto"/>
            <w:right w:val="none" w:sz="0" w:space="0" w:color="auto"/>
          </w:divBdr>
          <w:divsChild>
            <w:div w:id="1765806462">
              <w:marLeft w:val="0"/>
              <w:marRight w:val="0"/>
              <w:marTop w:val="0"/>
              <w:marBottom w:val="0"/>
              <w:divBdr>
                <w:top w:val="none" w:sz="0" w:space="0" w:color="auto"/>
                <w:left w:val="none" w:sz="0" w:space="0" w:color="auto"/>
                <w:bottom w:val="none" w:sz="0" w:space="0" w:color="auto"/>
                <w:right w:val="none" w:sz="0" w:space="0" w:color="auto"/>
              </w:divBdr>
              <w:divsChild>
                <w:div w:id="1654026841">
                  <w:marLeft w:val="0"/>
                  <w:marRight w:val="0"/>
                  <w:marTop w:val="0"/>
                  <w:marBottom w:val="0"/>
                  <w:divBdr>
                    <w:top w:val="none" w:sz="0" w:space="0" w:color="auto"/>
                    <w:left w:val="none" w:sz="0" w:space="0" w:color="auto"/>
                    <w:bottom w:val="none" w:sz="0" w:space="0" w:color="auto"/>
                    <w:right w:val="none" w:sz="0" w:space="0" w:color="auto"/>
                  </w:divBdr>
                  <w:divsChild>
                    <w:div w:id="10295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30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ontiersin.org/articles/10.3389/fonc.2021.672677/full" TargetMode="External"/><Relationship Id="rId18" Type="http://schemas.openxmlformats.org/officeDocument/2006/relationships/hyperlink" Target="https://www.frontiersin.org/articles/10.3389/fonc.2021.672677/full"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www.frontiersin.org/articles/10.3389/fonc.2021.672677/full" TargetMode="External"/><Relationship Id="rId34" Type="http://schemas.openxmlformats.org/officeDocument/2006/relationships/theme" Target="theme/theme1.xml"/><Relationship Id="rId7" Type="http://schemas.openxmlformats.org/officeDocument/2006/relationships/hyperlink" Target="https://www.abcam.com/cancer/cancer-immunotherapy-and-the-pd1pdl1-pathway" TargetMode="External"/><Relationship Id="rId12" Type="http://schemas.openxmlformats.org/officeDocument/2006/relationships/hyperlink" Target="https://doi.org/10.1634%2Ftheoncologist.2019-0244" TargetMode="External"/><Relationship Id="rId17" Type="http://schemas.openxmlformats.org/officeDocument/2006/relationships/hyperlink" Target="https://www.frontiersin.org/articles/10.3389/fonc.2021.672677/full" TargetMode="External"/><Relationship Id="rId25" Type="http://schemas.openxmlformats.org/officeDocument/2006/relationships/hyperlink" Target="https://doi.org/10.3389/fonc.2021.672677"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frontiersin.org/articles/10.3389/fonc.2021.672677/full" TargetMode="External"/><Relationship Id="rId20" Type="http://schemas.openxmlformats.org/officeDocument/2006/relationships/hyperlink" Target="https://www.frontiersin.org/articles/10.3389/fonc.2021.672677/full"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en.wikipedia.org/wiki/PD-L1" TargetMode="External"/><Relationship Id="rId11" Type="http://schemas.openxmlformats.org/officeDocument/2006/relationships/hyperlink" Target="https://www.ncbi.nlm.nih.gov/pmc/articles/PMC3268238/" TargetMode="External"/><Relationship Id="rId24" Type="http://schemas.openxmlformats.org/officeDocument/2006/relationships/hyperlink" Target="https://www.frontiersin.org/articles/10.3389/fonc.2021.672677/full" TargetMode="External"/><Relationship Id="rId32" Type="http://schemas.openxmlformats.org/officeDocument/2006/relationships/image" Target="media/image8.png"/><Relationship Id="rId5" Type="http://schemas.openxmlformats.org/officeDocument/2006/relationships/hyperlink" Target="http://www.SimpleAI.ch" TargetMode="External"/><Relationship Id="rId15" Type="http://schemas.openxmlformats.org/officeDocument/2006/relationships/hyperlink" Target="https://www.frontiersin.org/articles/10.3389/fonc.2021.672677/full" TargetMode="External"/><Relationship Id="rId23" Type="http://schemas.openxmlformats.org/officeDocument/2006/relationships/hyperlink" Target="https://www.frontiersin.org/articles/10.3389/fonc.2021.672677/full" TargetMode="External"/><Relationship Id="rId28" Type="http://schemas.openxmlformats.org/officeDocument/2006/relationships/image" Target="media/image4.png"/><Relationship Id="rId10" Type="http://schemas.openxmlformats.org/officeDocument/2006/relationships/hyperlink" Target="https://jitc.bmj.com/content/8/1/e000613" TargetMode="External"/><Relationship Id="rId19" Type="http://schemas.openxmlformats.org/officeDocument/2006/relationships/hyperlink" Target="https://www.frontiersin.org/articles/10.3389/fonc.2021.672677/full"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foundationmedicine.com/test/foundationone-cdx" TargetMode="External"/><Relationship Id="rId14" Type="http://schemas.openxmlformats.org/officeDocument/2006/relationships/hyperlink" Target="https://www.frontiersin.org/articles/10.3389/fonc.2021.672677/full" TargetMode="External"/><Relationship Id="rId22" Type="http://schemas.openxmlformats.org/officeDocument/2006/relationships/hyperlink" Target="https://www.frontiersin.org/articles/10.3389/fonc.2021.672677/full" TargetMode="External"/><Relationship Id="rId27" Type="http://schemas.openxmlformats.org/officeDocument/2006/relationships/image" Target="media/image3.png"/><Relationship Id="rId30"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1447</Words>
  <Characters>8249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Rosikiewicz</dc:creator>
  <cp:keywords/>
  <dc:description/>
  <cp:lastModifiedBy>Pawel Rosikiewicz</cp:lastModifiedBy>
  <cp:revision>2</cp:revision>
  <dcterms:created xsi:type="dcterms:W3CDTF">2022-06-05T23:17:00Z</dcterms:created>
  <dcterms:modified xsi:type="dcterms:W3CDTF">2022-06-06T01:03:00Z</dcterms:modified>
</cp:coreProperties>
</file>