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83EB5" w14:textId="04D2E3FB" w:rsidR="00CE0F1A" w:rsidRDefault="00AA1AB9">
      <w:r>
        <w:t>Een redenering bestaat uit een standpunt en één of meer argumenten.</w:t>
      </w:r>
      <w:r>
        <w:br/>
        <w:t>We onderscheiden de volgende redeneringen.</w:t>
      </w:r>
    </w:p>
    <w:p w14:paraId="2980BF45" w14:textId="77777777" w:rsidR="00AA1AB9" w:rsidRDefault="00AA1AB9"/>
    <w:sectPr w:rsidR="00AA1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8E"/>
    <w:rsid w:val="000A358E"/>
    <w:rsid w:val="006C2A47"/>
    <w:rsid w:val="00891FB3"/>
    <w:rsid w:val="008C040C"/>
    <w:rsid w:val="00AA1AB9"/>
    <w:rsid w:val="00E3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45FFE"/>
  <w15:chartTrackingRefBased/>
  <w15:docId w15:val="{0BE580EB-3C9C-455D-BD3E-E0DE157B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2</cp:revision>
  <dcterms:created xsi:type="dcterms:W3CDTF">2020-10-08T06:21:00Z</dcterms:created>
  <dcterms:modified xsi:type="dcterms:W3CDTF">2020-10-08T06:22:00Z</dcterms:modified>
</cp:coreProperties>
</file>