
<file path=[Content_Types].xml><?xml version="1.0" encoding="utf-8"?>
<Types xmlns="http://schemas.openxmlformats.org/package/2006/content-types">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Default Extension="rels" ContentType="application/vnd.openxmlformats-package.relationships+xml"/>
  <Default Extension="png" ContentType="image/png"/>
  <Default Extension="jpeg" ContentType="image/jpeg"/>
  <Default Extension="jpg" ContentType="image/jpeg"/>
  <Default Extension="gif" ContentType="image/gif"/>
  <Default Extension="xml" ContentType="application/xml"/>
  <Default Extension="xlsx" ContentType="application/vnd.openxmlformats-officedocument.spreadsheetml.sheet"/>
</Types>
</file>

<file path=_rels/.rels><?xml version="1.0" encoding="UTF-8"?>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spacing w:before="480" w:after="480" w:line="288" w:lineRule="auto"/>
        <w:ind w:left="0"/>
      </w:pPr>
      <w:r>
        <w:rPr>
          <w:b w:val="true"/>
          <w:sz w:val="52"/>
        </w:rPr>
        <w:t xml:space="preserve">Zoom Mobile UK -&gt; Tango Porting Workflow </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b w:val="true"/>
                <w:bCs w:val="true"/>
                <w:color w:val="#285AB6"/>
              </w:rPr>
              <w:t xml:space="preserve">Document Status: Draft</w:t>
            </w:r>
            <w:r>
              <w:rPr>
                <w:b w:val="true"/>
                <w:bCs w:val="true"/>
                <w:color w:val="FFC105"/>
              </w:rPr>
              <w:t xml:space="preserve"> </w:t>
            </w:r>
          </w:p>
          <w:p>
            <w:pPr>
              <w:spacing w:before="120" w:after="120" w:line="288"/>
              <w:jc w:val="left"/>
            </w:pPr>
            <w:r>
              <w:rPr>
                <w:color w:val="#285AB6"/>
              </w:rPr>
              <w:t xml:space="preserve">This document is currently under development and pending review by the Zoom Product Manager, Tango stakeholders, and Zoom Porting and Engineering teams to confirm the operational workflow. </w:t>
            </w:r>
          </w:p>
          <w:p>
            <w:pPr>
              <w:pStyle w:val="ListParagraph"/>
              <w:numPr>
                <w:ilvl w:val="0"/>
                <w:numId w:val="1"/>
              </w:numPr>
              <w:spacing w:before="120" w:after="120" w:line="288"/>
              <w:jc w:val="left"/>
            </w:pPr>
            <w:r>
              <w:rPr>
                <w:b w:val="true"/>
                <w:bCs w:val="true"/>
                <w:color w:val="#285AB6"/>
                <w:shd w:val="" w:fill="FFD75E"/>
              </w:rPr>
              <w:t xml:space="preserve">Internal Review Status:</w:t>
            </w:r>
            <w:r>
              <w:rPr>
                <w:b w:val="true"/>
                <w:bCs w:val="true"/>
                <w:color w:val="#285AB6"/>
              </w:rPr>
              <w:t xml:space="preserve"> </w:t>
            </w:r>
            <w:r>
              <w:rPr>
                <w:b w:val="true"/>
                <w:bCs w:val="true"/>
                <w:color w:val="01A63E"/>
              </w:rPr>
              <w:t xml:space="preserve">Complete</w:t>
            </w:r>
          </w:p>
          <w:p>
            <w:pPr>
              <w:pStyle w:val="ListParagraph"/>
              <w:numPr>
                <w:ilvl w:val="0"/>
                <w:numId w:val="2"/>
              </w:numPr>
              <w:spacing w:before="120" w:after="120" w:line="288"/>
              <w:jc w:val="left"/>
            </w:pPr>
            <w:r>
              <w:rPr>
                <w:b w:val="true"/>
                <w:bCs w:val="true"/>
                <w:color w:val="#285AB6"/>
                <w:shd w:val="" w:fill="FFD75E"/>
              </w:rPr>
              <w:t xml:space="preserve">External Vendor Review Status:</w:t>
            </w:r>
            <w:r>
              <w:rPr>
                <w:color w:val="#285AB6"/>
              </w:rPr>
              <w:t xml:space="preserve"> </w:t>
            </w:r>
            <w:r>
              <w:rPr>
                <w:b w:val="true"/>
                <w:bCs w:val="true"/>
                <w:color w:val="01A63E"/>
              </w:rPr>
              <w:t xml:space="preserve">Complete</w:t>
            </w:r>
          </w:p>
        </w:tc>
      </w:tr>
    </w:tbl>
    <w:p>
      <w:pPr>
        <w:spacing w:before="120" w:after="120" w:line="288"/>
        <w:jc w:val="left"/>
      </w:pPr>
      <w:r>
        <w:rPr>
          <w:b w:val="true"/>
          <w:bCs w:val="true"/>
        </w:rPr>
        <w:t xml:space="preserve">Document Approval</w:t>
      </w:r>
    </w:p>
    <w:p>
      <w:pPr>
        <w:spacing w:before="120" w:after="120" w:line="288"/>
        <w:jc w:val="left"/>
      </w:pPr>
      <w:r>
        <w:t xml:space="preserve">By signing below, reviewers confirm they have reviewed the document and agree that the described workflow accurately reflects the operational process. </w:t>
      </w:r>
    </w:p>
    <w:tbl>
      <w:tblPr>
        <w:tblStyle w:val="TableGrid"/>
        <w:tblW w:w="0" w:type="auto"/>
        <w:tblBorders>
          <w:top w:val="single" w:color="000000" w:sz="4" w:space="0"/>
          <w:start w:val="single" w:color="000000" w:sz="4" w:space="0"/>
          <w:bottom w:val="single" w:color="000000" w:sz="4" w:space="0"/>
          <w:end w:val="single" w:color="000000" w:sz="4" w:space="0"/>
        </w:tblBorders>
        <w:tblLayout w:type="fixed"/>
        <w:tblLook w:firstRow="1" w:lastRow="0" w:firstColumn="1" w:lastColumn="0" w:noHBand="1" w:noVBand="1" w:val=""/>
      </w:tblPr>
      <w:tblGrid>
        <w:gridCol w:w="3120"/>
        <w:gridCol w:w="3120"/>
        <w:gridCol w:w="3120"/>
      </w:tblGrid>
      <w:tr>
        <w:tblPrEx>
          <w:tblBorders>
            <w:insideH w:val="single" w:color="000000" w:sz="4" w:space="0"/>
            <w:insideV w:val="single" w:color="000000" w:sz="4" w:space="0"/>
          </w:tblBorders>
        </w:tblPrEx>
        <w:trPr>
          <w:trHeight w:val="300" w:hRule=""/>
        </w:trPr>
        <w:tc>
          <w:tcPr>
            <w:tcW w:w="3120" w:type="dxa"/>
            <w:tcMar/>
          </w:tcPr>
          <w:p>
            <w:pPr>
              <w:spacing w:before="120" w:after="120" w:line="288"/>
              <w:jc w:val="left"/>
            </w:pPr>
            <w:r>
              <w:rPr>
                <w:b w:val="true"/>
                <w:bCs w:val="true"/>
              </w:rPr>
              <w:t xml:space="preserve">Role:</w:t>
            </w:r>
          </w:p>
        </w:tc>
        <w:tc>
          <w:tcPr>
            <w:tcW w:w="3120" w:type="dxa"/>
            <w:tcMar/>
          </w:tcPr>
          <w:p>
            <w:pPr>
              <w:spacing w:before="120" w:after="120" w:line="288"/>
              <w:jc w:val="left"/>
            </w:pPr>
            <w:r>
              <w:rPr>
                <w:b w:val="true"/>
                <w:bCs w:val="true"/>
              </w:rPr>
              <w:t xml:space="preserve">Reviewer</w:t>
            </w:r>
          </w:p>
        </w:tc>
        <w:tc>
          <w:tcPr>
            <w:tcW w:w="3120" w:type="dxa"/>
            <w:tcMar/>
          </w:tcPr>
          <w:p>
            <w:pPr>
              <w:spacing w:before="120" w:after="120" w:line="288"/>
              <w:jc w:val="left"/>
            </w:pPr>
            <w:r>
              <w:rPr>
                <w:b w:val="true"/>
                <w:bCs w:val="true"/>
              </w:rPr>
              <w:t xml:space="preserve">Approval  Date</w:t>
            </w:r>
          </w:p>
        </w:tc>
      </w:tr>
      <w:tr>
        <w:tblPrEx>
          <w:tblBorders>
            <w:insideH w:val="single" w:color="000000" w:sz="4" w:space="0"/>
            <w:insideV w:val="single" w:color="000000" w:sz="4" w:space="0"/>
          </w:tblBorders>
        </w:tblPrEx>
        <w:trPr>
          <w:trHeight w:val="300" w:hRule=""/>
        </w:trPr>
        <w:tc>
          <w:tcPr>
            <w:tcW w:w="3120" w:type="dxa"/>
            <w:tcMar/>
          </w:tcPr>
          <w:p>
            <w:pPr>
              <w:spacing w:before="120" w:after="120" w:line="288"/>
              <w:jc w:val="left"/>
            </w:pPr>
            <w:r>
              <w:t xml:space="preserve">Zoom Lead Product Manager</w:t>
            </w:r>
          </w:p>
        </w:tc>
        <w:tc>
          <w:tcPr>
            <w:tcW w:w="3120" w:type="dxa"/>
            <w:tcMar/>
          </w:tcPr>
          <w:p>
            <w:pPr>
              <w:spacing w:before="120" w:after="120" w:line="288"/>
              <w:jc w:val="left"/>
            </w:pPr>
            <w:r>
              <w:t xml:space="preserve"> </w:t>
            </w:r>
            <w:r>
              <w:t xml:space="preserve">Sandeep Kasturia</w:t>
            </w:r>
          </w:p>
        </w:tc>
        <w:tc>
          <w:tcPr>
            <w:tcW w:w="3120" w:type="dxa"/>
            <w:tcMar/>
          </w:tcPr>
          <w:p>
            <w:pPr>
              <w:spacing w:before="120" w:after="120" w:line="288"/>
              <w:jc w:val="left"/>
            </w:pPr>
            <w:r>
              <w:t xml:space="preserve">03/26/2026</w:t>
            </w:r>
          </w:p>
        </w:tc>
      </w:tr>
      <w:tr>
        <w:tblPrEx>
          <w:tblBorders>
            <w:insideH w:val="single" w:color="000000" w:sz="4" w:space="0"/>
            <w:insideV w:val="single" w:color="000000" w:sz="4" w:space="0"/>
          </w:tblBorders>
        </w:tblPrEx>
        <w:trPr>
          <w:trHeight w:val="300" w:hRule=""/>
        </w:trPr>
        <w:tc>
          <w:tcPr>
            <w:tcW w:w="3120" w:type="dxa"/>
            <w:tcMar/>
          </w:tcPr>
          <w:p>
            <w:pPr>
              <w:spacing w:before="120" w:after="120" w:line="288"/>
              <w:jc w:val="left"/>
            </w:pPr>
            <w:r>
              <w:t xml:space="preserve">Zoom Technical Leader </w:t>
            </w:r>
          </w:p>
        </w:tc>
        <w:tc>
          <w:tcPr>
            <w:tcW w:w="3120" w:type="dxa"/>
            <w:tcMar/>
          </w:tcPr>
          <w:p>
            <w:pPr>
              <w:spacing w:before="120" w:after="120" w:line="288"/>
              <w:jc w:val="left"/>
            </w:pPr>
            <w:r>
              <w:t xml:space="preserve"> </w:t>
            </w:r>
            <w:r>
              <w:t xml:space="preserve">Lenny Zhang</w:t>
            </w:r>
          </w:p>
        </w:tc>
        <w:tc>
          <w:tcPr>
            <w:tcW w:w="3120" w:type="dxa"/>
            <w:tcMar/>
          </w:tcPr>
          <w:p>
            <w:pPr>
              <w:spacing w:before="120" w:after="120" w:line="288"/>
              <w:jc w:val="left"/>
            </w:pPr>
            <w:r>
              <w:t xml:space="preserve">Sandeep coordinated with Lenny. </w:t>
            </w:r>
          </w:p>
        </w:tc>
      </w:tr>
      <w:tr>
        <w:tblPrEx>
          <w:tblBorders>
            <w:insideH w:val="single" w:color="000000" w:sz="4" w:space="0"/>
            <w:insideV w:val="single" w:color="000000" w:sz="4" w:space="0"/>
          </w:tblBorders>
        </w:tblPrEx>
        <w:trPr>
          <w:trHeight w:val="300" w:hRule=""/>
        </w:trPr>
        <w:tc>
          <w:tcPr>
            <w:tcW w:w="3120" w:type="dxa"/>
            <w:tcMar/>
          </w:tcPr>
          <w:p>
            <w:pPr>
              <w:spacing w:before="120" w:after="120" w:line="288"/>
              <w:jc w:val="left"/>
            </w:pPr>
            <w:r>
              <w:t xml:space="preserve">Zoom Porting Support Manager </w:t>
            </w:r>
          </w:p>
        </w:tc>
        <w:tc>
          <w:tcPr>
            <w:tcW w:w="3120" w:type="dxa"/>
            <w:tcMar/>
          </w:tcPr>
          <w:p>
            <w:pPr>
              <w:spacing w:before="120" w:after="120" w:line="288"/>
              <w:jc w:val="left"/>
            </w:pPr>
            <w:r>
              <w:t xml:space="preserve">Shaz Saeed</w:t>
            </w:r>
            <w:r>
              <w:rPr/>
              <w:t xml:space="preserve"/>
            </w:r>
          </w:p>
        </w:tc>
        <w:tc>
          <w:tcPr>
            <w:tcW w:w="3120" w:type="dxa"/>
            <w:tcMar/>
          </w:tcPr>
          <w:p>
            <w:pPr>
              <w:spacing w:before="120" w:after="120" w:line="288"/>
              <w:jc w:val="left"/>
            </w:pPr>
          </w:p>
        </w:tc>
      </w:tr>
      <w:tr>
        <w:tblPrEx>
          <w:tblBorders>
            <w:insideH w:val="single" w:color="000000" w:sz="4" w:space="0"/>
            <w:insideV w:val="single" w:color="000000" w:sz="4" w:space="0"/>
          </w:tblBorders>
        </w:tblPrEx>
        <w:trPr>
          <w:trHeight w:val="300" w:hRule=""/>
        </w:trPr>
        <w:tc>
          <w:tcPr>
            <w:tcW w:w="3120" w:type="dxa"/>
            <w:tcMar/>
          </w:tcPr>
          <w:p>
            <w:pPr>
              <w:spacing w:before="120" w:after="120" w:line="288"/>
              <w:jc w:val="left"/>
            </w:pPr>
            <w:r>
              <w:t xml:space="preserve">Tango Customer Expereicne Manager </w:t>
            </w:r>
          </w:p>
        </w:tc>
        <w:tc>
          <w:tcPr>
            <w:tcW w:w="3120" w:type="dxa"/>
            <w:tcMar/>
          </w:tcPr>
          <w:p>
            <w:pPr>
              <w:spacing w:before="120" w:after="120" w:line="288"/>
              <w:jc w:val="left"/>
            </w:pPr>
            <w:r>
              <w:t xml:space="preserve">David Humble</w:t>
            </w:r>
          </w:p>
        </w:tc>
        <w:tc>
          <w:tcPr>
            <w:tcW w:w="3120" w:type="dxa"/>
            <w:tcMar/>
          </w:tcPr>
          <w:p>
            <w:pPr>
              <w:spacing w:before="120" w:after="120" w:line="288"/>
              <w:jc w:val="left"/>
            </w:pPr>
            <w:r>
              <w:t xml:space="preserve">03/19/2026</w:t>
            </w:r>
          </w:p>
        </w:tc>
      </w:tr>
    </w:tbl>
    <w:p>
      <w:pPr>
        <w:pStyle w:val="Heading2"/>
        <w:spacing w:before="120" w:after="120" w:line="288"/>
        <w:jc w:val="left"/>
      </w:pPr>
      <w:bookmarkStart w:name="_Toc1" w:id="1"/>
      <w:r>
        <w:rPr>
          <w:b w:val="true"/>
          <w:bCs w:val="true"/>
        </w:rPr>
        <w:t xml:space="preserve">Purpose and Scope </w:t>
      </w:r>
      <w:bookmarkEnd w:id="1"/>
    </w:p>
    <w:p>
      <w:pPr>
        <w:spacing w:before="120" w:after="120" w:line="288"/>
        <w:jc w:val="left"/>
      </w:pPr>
      <w:r>
        <w:t xml:space="preserve">This document defines the end-to-end operational workflow for porting Zoom Mobile UK numbers in partnership with Tango Networks. It establishes a unified process covering subscriber provisioning, temporary number assignment, and port request execution. The document also clarifies system behaviors for number management, including temporary number reuse, eSIM activation, and procedures for both port-in and port-out scenarios.</w:t>
      </w:r>
    </w:p>
    <w:p>
      <w:pPr>
        <w:spacing w:before="120" w:after="120" w:line="288"/>
        <w:jc w:val="left"/>
      </w:pPr>
      <w:r>
        <w:rPr>
          <w:b w:val="true"/>
          <w:bCs w:val="true"/>
        </w:rPr>
        <w:t xml:space="preserve">Intended Audience:</w:t>
      </w:r>
      <w:r>
        <w:t xml:space="preserve"> Internal Mobility Support Team</w:t>
      </w:r>
    </w:p>
    <w:p>
      <w:pPr>
        <w:pStyle w:val="Heading2"/>
        <w:spacing w:before="120" w:after="120" w:line="288"/>
        <w:jc w:val="left"/>
      </w:pPr>
      <w:bookmarkStart w:name="_Toc2" w:id="2"/>
      <w:r>
        <w:t xml:space="preserve">Process Overview</w:t>
      </w:r>
      <w:bookmarkEnd w:id="2"/>
    </w:p>
    <w:p>
      <w:pPr>
        <w:spacing w:before="120" w:after="120" w:line="288"/>
        <w:jc w:val="left"/>
      </w:pPr>
      <w:r>
        <w:rPr>
          <w:color w:val="2A2B2D"/>
        </w:rPr>
        <w:t xml:space="preserve">When a customer purchases the Zoom Phone Mobile UK SKU and requests number porting, the port-in request cannot occur immediately. The UK PAC process requires each subscriber to be provisioned in Tango with a temporary number before submitting the port request.</w:t>
      </w:r>
    </w:p>
    <w:p>
      <w:pPr>
        <w:spacing w:before="120" w:after="120" w:line="288"/>
        <w:jc w:val="left"/>
      </w:pPr>
      <w:r>
        <w:rPr/>
        <w:t xml:space="preserve"/>
      </w:r>
      <w:r>
        <w:rPr>
          <w:color w:val="2A2B2D"/>
        </w:rPr>
        <w:t xml:space="preserve">To meet this requirement, the customer first creates a verified Business Address and subscribers in the Zoom Web Portal via eSIM Management using temporary numbers from the Zoom number pool.</w:t>
      </w:r>
    </w:p>
    <w:p>
      <w:pPr>
        <w:spacing w:before="120" w:after="120" w:line="288"/>
        <w:jc w:val="left"/>
      </w:pPr>
      <w:r>
        <w:rPr/>
        <w:t xml:space="preserve"/>
      </w:r>
      <w:r>
        <w:rPr>
          <w:color w:val="2A2B2D"/>
        </w:rPr>
        <w:t xml:space="preserve">At port cutover, the temporary number </w:t>
      </w:r>
      <w:r>
        <w:t xml:space="preserve">is removed from the Tango Control Panel and cannot be used again once it has been replaced by the ported-in number.</w:t>
      </w:r>
    </w:p>
    <w:p>
      <w:pPr>
        <w:spacing w:before="120" w:after="120" w:line="288"/>
        <w:jc w:val="left"/>
      </w:pPr>
    </w:p>
    <w:p>
      <w:pPr>
        <w:pBdr>
          <w:bottom w:val="single" w:color="000000" w:sz="6" w:space="1"/>
          <w:between w:val="single" w:color="000000" w:sz="6" w:space="1"/>
        </w:pBdr>
        <w:spacing w:before="120" w:after="120" w:line="288" w:lineRule="auto"/>
        <w:ind w:left="0"/>
      </w:pPr>
    </w:p>
    <w:p>
      <w:pPr>
        <w:spacing w:before="120" w:after="120" w:line="288"/>
        <w:jc w:val="left"/>
      </w:pPr>
    </w:p>
    <w:p>
      <w:pPr>
        <w:pStyle w:val="Heading2"/>
        <w:spacing w:before="120" w:after="120" w:line="288"/>
        <w:jc w:val="left"/>
      </w:pPr>
      <w:bookmarkStart w:name="_Toc3" w:id="3"/>
      <w:r>
        <w:t xml:space="preserve">Zoom Number Management Workflow - Admin </w:t>
      </w:r>
      <w:bookmarkEnd w:id="3"/>
    </w:p>
    <w:p>
      <w:pPr>
        <w:pStyle w:val="Heading3"/>
        <w:spacing w:before="120" w:after="120" w:line="288"/>
        <w:jc w:val="left"/>
      </w:pPr>
      <w:bookmarkStart w:name="_Toc4" w:id="4"/>
      <w:r>
        <w:rPr>
          <w:b w:val="true"/>
          <w:bCs w:val="true"/>
        </w:rPr>
        <w:t xml:space="preserve">SKU Purchased </w:t>
      </w:r>
      <w:bookmarkEnd w:id="4"/>
    </w:p>
    <w:p>
      <w:pPr>
        <w:spacing w:before="120" w:after="120" w:line="288"/>
        <w:jc w:val="left"/>
      </w:pPr>
      <w:r>
        <w:t xml:space="preserve">Customer purchases Zoom Phone Mobile UK SKU.</w:t>
      </w:r>
    </w:p>
    <w:p>
      <w:pPr>
        <w:spacing w:before="120" w:after="120" w:line="288"/>
        <w:jc w:val="left"/>
      </w:pPr>
      <w:r>
        <w:t xml:space="preserve">When the SKUs are added to the customer account, we automatically create an account for the customer in Tango's System. </w:t>
      </w:r>
    </w:p>
    <w:p>
      <w:pPr>
        <w:pStyle w:val="Heading3"/>
        <w:spacing w:before="120" w:after="120" w:line="288"/>
        <w:jc w:val="left"/>
      </w:pPr>
      <w:bookmarkStart w:name="_Toc5" w:id="5"/>
      <w:r>
        <w:rPr/>
        <w:t xml:space="preserve">Business Address/Subscriber Confirmation </w:t>
      </w:r>
      <w:bookmarkEnd w:id="5"/>
    </w:p>
    <w:p>
      <w:pPr>
        <w:spacing w:before="120" w:after="120" w:line="288"/>
        <w:jc w:val="left"/>
      </w:pPr>
      <w:r>
        <w:rPr>
          <w:b w:val="true"/>
          <w:bCs w:val="true"/>
        </w:rPr>
        <w:t xml:space="preserve">Prerequisites for the Porting Team to Process Porting Request in Tango Control Panel: </w:t>
      </w:r>
      <w:r>
        <w:t xml:space="preserve">The Admin must set up a business address and subscriber in eSIM Management. </w:t>
      </w:r>
    </w:p>
    <w:p>
      <w:pPr>
        <w:spacing w:before="120" w:after="120" w:line="288"/>
        <w:jc w:val="left"/>
      </w:pPr>
      <w:r>
        <w:t xml:space="preserve">The Admin will complete this process by following these steps:</w:t>
      </w:r>
    </w:p>
    <w:p>
      <w:pPr>
        <w:pStyle w:val="ListParagraph"/>
        <w:numPr>
          <w:ilvl w:val="0"/>
          <w:numId w:val="3"/>
        </w:numPr>
        <w:spacing w:before="120" w:after="120" w:line="288"/>
        <w:jc w:val="left"/>
      </w:pPr>
      <w:r>
        <w:t xml:space="preserve">Navigate to </w:t>
      </w:r>
      <w:r>
        <w:rPr>
          <w:b w:val="true"/>
          <w:bCs w:val="true"/>
        </w:rPr>
        <w:t xml:space="preserve">Number Management → Phone Numbers → Business Address &amp; Documents → Add Address</w:t>
      </w:r>
    </w:p>
    <w:p>
      <w:pPr>
        <w:pStyle w:val="ListParagraph"/>
        <w:numPr>
          <w:ilvl w:val="0"/>
          <w:numId w:val="4"/>
        </w:numPr>
        <w:spacing w:before="120" w:after="120" w:line="288"/>
        <w:jc w:val="left"/>
      </w:pPr>
      <w:r>
        <w:t xml:space="preserve">Select </w:t>
      </w:r>
      <w:r>
        <w:rPr>
          <w:b w:val="true"/>
          <w:bCs w:val="true"/>
        </w:rPr>
        <w:t xml:space="preserve">Product: Phone</w:t>
      </w:r>
    </w:p>
    <w:p>
      <w:pPr>
        <w:pStyle w:val="ListParagraph"/>
        <w:numPr>
          <w:ilvl w:val="0"/>
          <w:numId w:val="5"/>
        </w:numPr>
        <w:spacing w:before="120" w:after="120" w:line="288"/>
        <w:jc w:val="left"/>
      </w:pPr>
      <w:r>
        <w:t xml:space="preserve">Select </w:t>
      </w:r>
      <w:r>
        <w:rPr>
          <w:b w:val="true"/>
          <w:bCs w:val="true"/>
        </w:rPr>
        <w:t xml:space="preserve">Country/Region: United Kingdom</w:t>
      </w:r>
    </w:p>
    <w:p>
      <w:pPr>
        <w:pStyle w:val="ListParagraph"/>
        <w:numPr>
          <w:ilvl w:val="0"/>
          <w:numId w:val="6"/>
        </w:numPr>
        <w:spacing w:before="120" w:after="120" w:line="288"/>
        <w:jc w:val="left"/>
      </w:pPr>
      <w:r>
        <w:t xml:space="preserve">Select </w:t>
      </w:r>
      <w:r>
        <w:rPr>
          <w:b w:val="true"/>
          <w:bCs w:val="true"/>
        </w:rPr>
        <w:t xml:space="preserve">Number Type &amp; Capability: Mobile -eSIM</w:t>
      </w:r>
    </w:p>
    <w:p>
      <w:pPr>
        <w:pStyle w:val="ListParagraph"/>
        <w:numPr>
          <w:ilvl w:val="0"/>
          <w:numId w:val="7"/>
        </w:numPr>
        <w:spacing w:before="120" w:after="120" w:line="288"/>
        <w:jc w:val="left"/>
      </w:pPr>
      <w:r>
        <w:t xml:space="preserve">Upload the required documents</w:t>
      </w:r>
    </w:p>
    <w:p>
      <w:pPr>
        <w:pStyle w:val="ListParagraph"/>
        <w:numPr>
          <w:ilvl w:val="0"/>
          <w:numId w:val="8"/>
        </w:numPr>
        <w:spacing w:before="120" w:after="120" w:line="288"/>
        <w:jc w:val="left"/>
      </w:pPr>
      <w:r>
        <w:t xml:space="preserve">Click </w:t>
      </w:r>
      <w:r>
        <w:rPr>
          <w:b w:val="true"/>
          <w:bCs w:val="true"/>
        </w:rPr>
        <w:t xml:space="preserve">Save</w:t>
      </w:r>
    </w:p>
    <w:p>
      <w:pPr>
        <w:spacing w:before="120" w:after="120" w:line="288"/>
        <w:jc w:val="left"/>
      </w:pPr>
    </w:p>
    <w:p>
      <w:pPr>
        <w:spacing w:before="120" w:after="120" w:line="288"/>
        <w:jc w:val="left"/>
      </w:pPr>
      <w:r>
        <w:t xml:space="preserve">Once the Admin clicks save, the business address and uploaded documents will appear in </w:t>
      </w:r>
      <w:r>
        <w:rPr>
          <w:b w:val="true"/>
          <w:bCs w:val="true"/>
        </w:rPr>
        <w:t xml:space="preserve">Business Address &amp; Documents → Documents Column</w:t>
      </w:r>
      <w:r>
        <w:t xml:space="preserve">. The </w:t>
      </w:r>
      <w:r>
        <w:rPr>
          <w:b w:val="true"/>
          <w:bCs w:val="true"/>
        </w:rPr>
        <w:t xml:space="preserve">Type</w:t>
      </w:r>
      <w:r>
        <w:t xml:space="preserve"> column will display </w:t>
      </w:r>
      <w:r>
        <w:rPr>
          <w:b w:val="true"/>
          <w:bCs w:val="true"/>
        </w:rPr>
        <w:t xml:space="preserve">Mobile eSIM</w:t>
      </w:r>
      <w:r>
        <w:t xml:space="preserve">.</w:t>
      </w:r>
    </w:p>
    <w:p>
      <w:pPr>
        <w:spacing w:before="120" w:after="120" w:line="288"/>
        <w:jc w:val="left"/>
      </w:pPr>
      <w:r>
        <w:t xml:space="preserve">Once the </w:t>
      </w:r>
      <w:r>
        <w:t xml:space="preserve">KYC </w:t>
      </w:r>
      <w:r>
        <w:t xml:space="preserve">Team completes the verification process, temporary telephone numbers become available for the Admin to add to their account..</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9"/>
              </w:numPr>
              <w:spacing w:before="120" w:after="120" w:line="288"/>
              <w:jc w:val="left"/>
            </w:pPr>
            <w:r>
              <w:rPr>
                <w:color w:val="#285AB6"/>
              </w:rPr>
              <w:t xml:space="preserve">The verification status will initially display as </w:t>
            </w:r>
            <w:r>
              <w:rPr>
                <w:b w:val="true"/>
                <w:bCs w:val="true"/>
                <w:color w:val="#285AB6"/>
              </w:rPr>
              <w:t xml:space="preserve">Pending</w:t>
            </w:r>
            <w:r>
              <w:rPr>
                <w:color w:val="#285AB6"/>
              </w:rPr>
              <w:t xml:space="preserve">, indicating that a ticket has been automatically generated for the </w:t>
            </w:r>
            <w:r>
              <w:rPr>
                <w:color w:val="#285AB6"/>
              </w:rPr>
              <w:t xml:space="preserve">KYC Team</w:t>
            </w:r>
            <w:r>
              <w:rPr>
                <w:color w:val="#285AB6"/>
              </w:rPr>
              <w:t xml:space="preserve"> to review and approve the submitted documents.</w:t>
            </w:r>
          </w:p>
          <w:p>
            <w:pPr>
              <w:pStyle w:val="ListParagraph"/>
              <w:numPr>
                <w:ilvl w:val="0"/>
                <w:numId w:val="10"/>
              </w:numPr>
              <w:spacing w:before="120" w:after="120" w:line="288"/>
              <w:jc w:val="left"/>
            </w:pPr>
            <w:r>
              <w:rPr>
                <w:color w:val="#285AB6"/>
              </w:rPr>
              <w:t xml:space="preserve">Once the </w:t>
            </w:r>
            <w:r>
              <w:rPr>
                <w:color w:val="#285AB6"/>
              </w:rPr>
              <w:t xml:space="preserve">KYC T</w:t>
            </w:r>
            <w:r>
              <w:rPr>
                <w:color w:val="#285AB6"/>
              </w:rPr>
              <w:t xml:space="preserve">eam completes their review and approves the documents, the verification status will update to </w:t>
            </w:r>
            <w:r>
              <w:rPr>
                <w:b w:val="true"/>
                <w:bCs w:val="true"/>
                <w:color w:val="#285AB6"/>
              </w:rPr>
              <w:t xml:space="preserve">Verified</w:t>
            </w:r>
            <w:r>
              <w:rPr>
                <w:color w:val="#285AB6"/>
              </w:rPr>
              <w:t xml:space="preserve">.</w:t>
            </w:r>
          </w:p>
        </w:tc>
      </w:tr>
    </w:tbl>
    <w:p>
      <w:pPr>
        <w:pStyle w:val="Heading3"/>
        <w:spacing w:before="120" w:after="120" w:line="288"/>
        <w:jc w:val="left"/>
      </w:pPr>
      <w:bookmarkStart w:name="_Toc6" w:id="6"/>
      <w:r>
        <w:t xml:space="preserve"> Temporary Numbers Visible to Admin </w:t>
      </w:r>
      <w:bookmarkEnd w:id="6"/>
    </w:p>
    <w:p>
      <w:pPr>
        <w:spacing w:before="120" w:after="120" w:line="288"/>
        <w:jc w:val="left"/>
      </w:pPr>
      <w:r>
        <w:rPr>
          <w:color w:val="2A2B2D"/>
        </w:rPr>
        <w:t xml:space="preserve">After the business address is verified, the Admin obtains temporary numbers directly through </w:t>
      </w:r>
      <w:r>
        <w:rPr>
          <w:b w:val="true"/>
          <w:bCs w:val="true"/>
        </w:rPr>
        <w:t xml:space="preserve">Number Management → Phone Numbers</w:t>
      </w:r>
      <w:r>
        <w:rPr>
          <w:b w:val="true"/>
          <w:bCs w:val="true"/>
        </w:rPr>
        <w:t xml:space="preserve"> → Add Number → Get Number</w:t>
      </w:r>
      <w:r>
        <w:t xml:space="preserve">. At this stage:</w:t>
      </w:r>
    </w:p>
    <w:p>
      <w:pPr>
        <w:pStyle w:val="ListParagraph"/>
        <w:numPr>
          <w:ilvl w:val="0"/>
          <w:numId w:val="11"/>
        </w:numPr>
        <w:spacing w:before="120" w:after="120" w:line="288"/>
        <w:jc w:val="left"/>
      </w:pPr>
      <w:r>
        <w:t xml:space="preserve">The </w:t>
      </w:r>
      <w:r>
        <w:rPr>
          <w:b w:val="true"/>
          <w:bCs w:val="true"/>
        </w:rPr>
        <w:t xml:space="preserve">Assigned To</w:t>
      </w:r>
      <w:r>
        <w:t xml:space="preserve"> column will be empty (numbers are unassigned)</w:t>
      </w:r>
    </w:p>
    <w:p>
      <w:pPr>
        <w:pStyle w:val="ListParagraph"/>
        <w:numPr>
          <w:ilvl w:val="0"/>
          <w:numId w:val="12"/>
        </w:numPr>
        <w:spacing w:before="120" w:after="120" w:line="288"/>
        <w:jc w:val="left"/>
      </w:pPr>
      <w:r>
        <w:t xml:space="preserve">The </w:t>
      </w:r>
      <w:r>
        <w:rPr>
          <w:b w:val="true"/>
          <w:bCs w:val="true"/>
        </w:rPr>
        <w:t xml:space="preserve">Source</w:t>
      </w:r>
      <w:r>
        <w:t xml:space="preserve"> column will display </w:t>
      </w:r>
      <w:r>
        <w:rPr>
          <w:b w:val="true"/>
          <w:bCs w:val="true"/>
        </w:rPr>
        <w:t xml:space="preserve">Zoom</w:t>
      </w:r>
    </w:p>
    <w:p>
      <w:pPr>
        <w:pStyle w:val="ListParagraph"/>
        <w:numPr>
          <w:ilvl w:val="0"/>
          <w:numId w:val="13"/>
        </w:numPr>
        <w:spacing w:before="120" w:after="120" w:line="288"/>
        <w:jc w:val="left"/>
      </w:pPr>
      <w:r>
        <w:t xml:space="preserve">The </w:t>
      </w:r>
      <w:r>
        <w:rPr>
          <w:b w:val="true"/>
          <w:bCs w:val="true"/>
        </w:rPr>
        <w:t xml:space="preserve">Type</w:t>
      </w:r>
      <w:r>
        <w:t xml:space="preserve"> column will show </w:t>
      </w:r>
      <w:r>
        <w:rPr>
          <w:b w:val="true"/>
          <w:bCs w:val="true"/>
        </w:rPr>
        <w:t xml:space="preserve">Mobile-eSIM</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14"/>
              </w:numPr>
              <w:spacing w:before="120" w:after="120" w:line="288"/>
              <w:jc w:val="left"/>
            </w:pPr>
            <w:r>
              <w:rPr>
                <w:color w:val="#285AB6"/>
              </w:rPr>
              <w:t xml:space="preserve">Tango will supply the required quantity of temporary numbers to Zoom Tango.</w:t>
            </w:r>
          </w:p>
          <w:p>
            <w:pPr>
              <w:pStyle w:val="ListParagraph"/>
              <w:numPr>
                <w:ilvl w:val="0"/>
                <w:numId w:val="15"/>
              </w:numPr>
              <w:spacing w:before="120" w:after="120" w:line="288"/>
              <w:jc w:val="left"/>
            </w:pPr>
            <w:r>
              <w:rPr>
                <w:color w:val="#285AB6"/>
              </w:rPr>
              <w:t xml:space="preserve">Tango will provide numbers to Zoom. There is no distinction between a number used on a standard subscription (without port</w:t>
            </w:r>
            <w:r>
              <w:rPr>
                <w:color w:val="#285AB6"/>
              </w:rPr>
              <w:t xml:space="preserve">) and subscription with port. </w:t>
            </w:r>
          </w:p>
          <w:p>
            <w:pPr>
              <w:pStyle w:val="ListParagraph"/>
              <w:numPr>
                <w:ilvl w:val="0"/>
                <w:numId w:val="16"/>
              </w:numPr>
              <w:spacing w:before="120" w:after="120" w:line="288"/>
              <w:jc w:val="left"/>
            </w:pPr>
            <w:r>
              <w:rPr>
                <w:color w:val="#285AB6"/>
              </w:rPr>
              <w:t xml:space="preserve">Temporary numbers are allocated from the Zoom Number Main Pool at the Reseller level and become available to the admin through the Get Number flow.</w:t>
            </w:r>
            <w:r>
              <w:rPr>
                <w:color w:val="#285AB6"/>
              </w:rPr>
              <w:t xml:space="preserve"> </w:t>
            </w:r>
          </w:p>
          <w:p>
            <w:pPr>
              <w:pStyle w:val="ListParagraph"/>
              <w:numPr>
                <w:ilvl w:val="0"/>
                <w:numId w:val="17"/>
              </w:numPr>
              <w:spacing w:before="120" w:after="120" w:line="288"/>
              <w:jc w:val="left"/>
            </w:pPr>
            <w:r>
              <w:rPr>
                <w:color w:val="3270E3"/>
              </w:rPr>
              <w:t xml:space="preserve">The temporary number is replaced during the porting process and</w:t>
            </w:r>
            <w:r>
              <w:rPr>
                <w:color w:val="2A2B2D"/>
              </w:rPr>
              <w:t xml:space="preserve"> </w:t>
            </w:r>
            <w:r>
              <w:rPr>
                <w:color w:val="#285AB6"/>
              </w:rPr>
              <w:t xml:space="preserve">is removed from the Tango Control Panel and will no longer be accessible for use by Zoom.</w:t>
            </w:r>
          </w:p>
          <w:p>
            <w:pPr>
              <w:pStyle w:val="ListParagraph"/>
              <w:numPr>
                <w:ilvl w:val="0"/>
                <w:numId w:val="18"/>
              </w:numPr>
              <w:spacing w:before="120" w:after="120" w:line="288"/>
              <w:jc w:val="left"/>
            </w:pPr>
            <w:r>
              <w:rPr>
                <w:color w:val="#285AB6"/>
              </w:rPr>
              <w:t xml:space="preserve">Zoom will need to synchronize the removal of these numbers with any internal number pools they maintain within their own environment.</w:t>
            </w:r>
          </w:p>
        </w:tc>
      </w:tr>
    </w:tbl>
    <w:p>
      <w:pPr>
        <w:pStyle w:val="Heading3"/>
        <w:spacing w:before="120" w:after="120" w:line="288"/>
        <w:jc w:val="left"/>
      </w:pPr>
      <w:bookmarkStart w:name="_Toc7" w:id="7"/>
      <w:r>
        <w:t xml:space="preserve">Admin Creates Subscribers </w:t>
      </w:r>
      <w:bookmarkEnd w:id="7"/>
    </w:p>
    <w:p>
      <w:pPr>
        <w:spacing w:before="120" w:after="120" w:line="288"/>
        <w:jc w:val="left"/>
      </w:pPr>
      <w:r>
        <w:t xml:space="preserve">The Admin navigates to </w:t>
      </w:r>
      <w:r>
        <w:rPr>
          <w:b w:val="true"/>
          <w:bCs w:val="true"/>
        </w:rPr>
        <w:t xml:space="preserve">Phone System Management → eSIM Management</w:t>
      </w:r>
      <w:r>
        <w:t xml:space="preserve">. The screen will initially be blank. Click </w:t>
      </w:r>
      <w:r>
        <w:rPr>
          <w:b w:val="true"/>
          <w:bCs w:val="true"/>
        </w:rPr>
        <w:t xml:space="preserve">Create</w:t>
      </w:r>
      <w:r>
        <w:t xml:space="preserve">, then follow these steps:</w:t>
      </w:r>
    </w:p>
    <w:p>
      <w:pPr>
        <w:pStyle w:val="ListParagraph"/>
        <w:numPr>
          <w:ilvl w:val="0"/>
          <w:numId w:val="19"/>
        </w:numPr>
        <w:spacing w:before="120" w:after="120" w:line="288"/>
        <w:jc w:val="left"/>
      </w:pPr>
      <w:r>
        <w:t xml:space="preserve">Select the desired </w:t>
      </w:r>
      <w:r>
        <w:rPr>
          <w:b w:val="true"/>
          <w:bCs w:val="true"/>
        </w:rPr>
        <w:t xml:space="preserve">User</w:t>
      </w:r>
    </w:p>
    <w:p>
      <w:pPr>
        <w:pStyle w:val="ListParagraph"/>
        <w:numPr>
          <w:ilvl w:val="0"/>
          <w:numId w:val="20"/>
        </w:numPr>
        <w:spacing w:before="120" w:after="120" w:line="288"/>
        <w:jc w:val="left"/>
      </w:pPr>
      <w:r>
        <w:t xml:space="preserve">Select the appropriate </w:t>
      </w:r>
      <w:r>
        <w:rPr>
          <w:b w:val="true"/>
          <w:bCs w:val="true"/>
        </w:rPr>
        <w:t xml:space="preserve">Package</w:t>
      </w:r>
    </w:p>
    <w:p>
      <w:pPr>
        <w:pStyle w:val="ListParagraph"/>
        <w:numPr>
          <w:ilvl w:val="0"/>
          <w:numId w:val="21"/>
        </w:numPr>
        <w:spacing w:before="120" w:after="120" w:line="288"/>
        <w:jc w:val="left"/>
      </w:pPr>
      <w:r>
        <w:t xml:space="preserve">Select one of the available temporary numbers from the </w:t>
      </w:r>
      <w:r>
        <w:rPr>
          <w:b w:val="true"/>
          <w:bCs w:val="true"/>
        </w:rPr>
        <w:t xml:space="preserve">Number(s)</w:t>
      </w:r>
      <w:r>
        <w:t xml:space="preserve"> dropdown</w:t>
      </w:r>
    </w:p>
    <w:p>
      <w:pPr>
        <w:spacing w:before="120" w:after="120" w:line="288"/>
        <w:jc w:val="left"/>
      </w:pPr>
      <w:r>
        <w:t xml:space="preserve">All requested temporary numbers will be available in the dropdown menu for selection.</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b w:val="true"/>
                <w:bCs w:val="true"/>
                <w:color w:val="#285AB6"/>
              </w:rPr>
              <w:t xml:space="preserve">Note: Temporary Number Assignment</w:t>
            </w:r>
          </w:p>
          <w:p>
            <w:pPr>
              <w:spacing w:before="120" w:after="120" w:line="288"/>
              <w:jc w:val="left"/>
            </w:pPr>
            <w:r>
              <w:rPr>
                <w:color w:val="#285AB6"/>
              </w:rPr>
              <w:t xml:space="preserve">This temporary number ensures the subscriber record is created in the Tango Control Panel, enabling the port-in request to be submitted.</w:t>
            </w:r>
          </w:p>
          <w:p>
            <w:pPr>
              <w:spacing w:before="120" w:after="120" w:line="288"/>
              <w:jc w:val="left"/>
            </w:pPr>
            <w:r>
              <w:rPr>
                <w:color w:val="#285AB6"/>
              </w:rPr>
              <w:t xml:space="preserve">When an Admin creates a new subscriber with the Zoom Phone Mobile SKU in the Zoom Admin Portal:</w:t>
            </w:r>
          </w:p>
          <w:p>
            <w:pPr>
              <w:pStyle w:val="ListParagraph"/>
              <w:numPr>
                <w:ilvl w:val="0"/>
                <w:numId w:val="22"/>
              </w:numPr>
              <w:spacing w:before="120" w:after="120" w:line="288"/>
              <w:jc w:val="left"/>
            </w:pPr>
            <w:r>
              <w:rPr>
                <w:color w:val="#285AB6"/>
              </w:rPr>
              <w:t xml:space="preserve">The admin selects a temporary number from the available Zoom Number Pool.</w:t>
            </w:r>
          </w:p>
          <w:p>
            <w:pPr>
              <w:pStyle w:val="ListParagraph"/>
              <w:numPr>
                <w:ilvl w:val="0"/>
                <w:numId w:val="23"/>
              </w:numPr>
              <w:spacing w:before="120" w:after="120" w:line="288"/>
              <w:jc w:val="left"/>
            </w:pPr>
            <w:r>
              <w:rPr>
                <w:color w:val="#285AB6"/>
              </w:rPr>
              <w:t xml:space="preserve">The subscriber record is automatically synchronized between Zoom and Tango, making it immediately available in the Tango Control Panel.</w:t>
            </w:r>
          </w:p>
        </w:tc>
      </w:tr>
    </w:tbl>
    <w:p>
      <w:pPr>
        <w:pStyle w:val="Heading3"/>
        <w:spacing w:before="120" w:after="120" w:line="288"/>
        <w:jc w:val="left"/>
      </w:pPr>
      <w:bookmarkStart w:name="_Toc8" w:id="8"/>
      <w:r>
        <w:t xml:space="preserve">3.5  Welcome Email &amp; eSIM Activation Details </w:t>
      </w:r>
      <w:bookmarkEnd w:id="8"/>
    </w:p>
    <w:p>
      <w:pPr>
        <w:spacing w:before="120" w:after="120" w:line="288"/>
        <w:jc w:val="left"/>
      </w:pPr>
      <w:r>
        <w:t xml:space="preserve">Upon subscriber creation, the user will automatically receive a welcome email containing their eSIM activation details.</w:t>
      </w:r>
    </w:p>
    <w:p>
      <w:pPr>
        <w:spacing w:before="120" w:after="120" w:line="288"/>
        <w:jc w:val="left"/>
      </w:pPr>
      <w:r>
        <w:t xml:space="preserve">The QR Code remains valid until it is scanned to install the eSIM on the mobile device, and the eSIM installation status does not affect port completion.</w:t>
      </w:r>
    </w:p>
    <w:p>
      <w:pPr>
        <w:spacing w:before="120" w:after="120" w:line="288"/>
        <w:jc w:val="left"/>
      </w:pPr>
      <w:r>
        <w:t xml:space="preserve">The port will proceed as long as the subscriber exists in the Tango Control Panel</w:t>
      </w:r>
      <w:r>
        <w:rPr>
          <w:b w:val="true"/>
          <w:bCs w:val="true"/>
        </w:rPr>
        <w:t xml:space="preserve"> </w:t>
      </w:r>
      <w:r>
        <w:t xml:space="preserve">and the port details are submitted correctly. </w:t>
      </w:r>
      <w:hyperlink r:id="rId5">
        <w:r>
          <w:rPr>
            <w:rStyle w:val="Hyperlink"/>
          </w:rPr>
          <w:t xml:space="preserve">https://docs.zoom.us/doc/hWi_hhlxTQ27YSL3X6fV1w</w:t>
        </w:r>
      </w:hyperlink>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24"/>
              </w:numPr>
              <w:spacing w:before="120" w:after="120" w:line="288"/>
              <w:jc w:val="left"/>
            </w:pPr>
            <w:r>
              <w:rPr>
                <w:color w:val="#285AB6"/>
              </w:rPr>
              <w:t xml:space="preserve">Users should retain the </w:t>
            </w:r>
            <w:r>
              <w:rPr>
                <w:strike w:val="true"/>
                <w:color w:val="#285AB6"/>
              </w:rPr>
              <w:t xml:space="preserve">eSIM</w:t>
            </w:r>
            <w:r>
              <w:rPr>
                <w:color w:val="#285AB6"/>
              </w:rPr>
              <w:t xml:space="preserve"> QR Code until the porting process completes, as it will be required for activation once the ported number replaces the temporary number</w:t>
            </w:r>
            <w:r>
              <w:rPr>
                <w:color w:val="#285AB6"/>
              </w:rPr>
              <w:t xml:space="preserve">.</w:t>
            </w:r>
          </w:p>
        </w:tc>
      </w:tr>
    </w:tbl>
    <w:p>
      <w:pPr>
        <w:spacing w:before="120" w:after="120" w:line="288"/>
        <w:jc w:val="left"/>
      </w:pPr>
    </w:p>
    <w:p>
      <w:pPr>
        <w:pStyle w:val="Heading3"/>
        <w:spacing w:before="120" w:after="120" w:line="288"/>
        <w:jc w:val="left"/>
      </w:pPr>
      <w:bookmarkStart w:name="_Toc9" w:id="9"/>
      <w:r>
        <w:rPr/>
        <w:t xml:space="preserve">3.6 Admin Submits Porting Request </w:t>
      </w:r>
      <w:bookmarkEnd w:id="9"/>
    </w:p>
    <w:p>
      <w:pPr>
        <w:spacing w:before="120" w:after="120" w:line="288"/>
        <w:jc w:val="left"/>
      </w:pPr>
      <w:r>
        <w:rPr>
          <w:color w:val="2A2B2D"/>
        </w:rPr>
        <w:t xml:space="preserve">Once subscribers are created and active with temporary numbers, the admin initiates the porting request.</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25"/>
              </w:numPr>
              <w:spacing w:before="120" w:after="120" w:line="288"/>
              <w:jc w:val="left"/>
            </w:pPr>
            <w:r>
              <w:rPr>
                <w:color w:val="#285AB6"/>
              </w:rPr>
              <w:t xml:space="preserve">Document upload is not required at this stage, as the business address has already been verified during the initial setup.</w:t>
            </w:r>
          </w:p>
          <w:p>
            <w:pPr>
              <w:pStyle w:val="ListParagraph"/>
              <w:numPr>
                <w:ilvl w:val="0"/>
                <w:numId w:val="26"/>
              </w:numPr>
              <w:spacing w:before="120" w:after="120" w:line="288"/>
              <w:jc w:val="left"/>
            </w:pPr>
            <w:r>
              <w:rPr>
                <w:color w:val="#285AB6"/>
              </w:rPr>
              <w:t xml:space="preserve">The porting team reviews the request, confirms that subscribers have been created with temporary numbers, and uses the Number Swap tool in OP to replace the existing temporary number with </w:t>
            </w:r>
            <w:r>
              <w:rPr>
                <w:color w:val="#285AB6"/>
              </w:rPr>
              <w:t xml:space="preserve">the</w:t>
            </w:r>
            <w:r>
              <w:rPr>
                <w:color w:val="#285AB6"/>
              </w:rPr>
              <w:t xml:space="preserve"> requested port-in number. </w:t>
            </w:r>
          </w:p>
          <w:p>
            <w:pPr>
              <w:pStyle w:val="ListParagraph"/>
              <w:numPr>
                <w:ilvl w:val="0"/>
                <w:numId w:val="27"/>
              </w:numPr>
              <w:spacing w:before="120" w:after="120" w:line="288"/>
              <w:jc w:val="left"/>
            </w:pPr>
            <w:r>
              <w:rPr>
                <w:color w:val="#285AB6"/>
              </w:rPr>
              <w:t xml:space="preserve">Then Porting team deletes the Temporary number from the Zoom pool again via the OP.  Once completed, the porting team submits the port-in request to Tango through the portal. </w:t>
            </w:r>
            <w:hyperlink r:id="rId6">
              <w:r>
                <w:rPr>
                  <w:color w:val="#285AB6"/>
                  <w:rStyle w:val="Hyperlink"/>
                </w:rPr>
                <w:t xml:space="preserve">https://docs.zoom.us/doc/hWi_hhlxTQ27YSL3X6fV1w</w:t>
              </w:r>
            </w:hyperlink>
          </w:p>
        </w:tc>
      </w:tr>
    </w:tbl>
    <w:p>
      <w:pPr>
        <w:pStyle w:val="Heading4"/>
        <w:spacing w:before="120" w:after="120" w:line="288"/>
        <w:jc w:val="left"/>
      </w:pPr>
      <w:bookmarkStart w:name="_Toc10" w:id="10"/>
      <w:r>
        <w:t xml:space="preserve">3.6.1 Porting Team Steps </w:t>
      </w:r>
      <w:bookmarkEnd w:id="10"/>
    </w:p>
    <w:p>
      <w:pPr>
        <w:pStyle w:val="ListParagraph"/>
        <w:numPr>
          <w:ilvl w:val="0"/>
          <w:numId w:val="28"/>
        </w:numPr>
        <w:spacing w:before="120" w:after="120" w:line="288"/>
        <w:jc w:val="left"/>
      </w:pPr>
      <w:r>
        <w:rPr>
          <w:b w:val="true"/>
          <w:bCs w:val="true"/>
        </w:rPr>
        <w:t xml:space="preserve">Review and Verify:</w:t>
      </w:r>
      <w:r>
        <w:t xml:space="preserve"> </w:t>
      </w:r>
    </w:p>
    <w:p>
      <w:pPr>
        <w:pStyle w:val="ListParagraph"/>
        <w:numPr>
          <w:ilvl w:val="0"/>
          <w:numId w:val="29"/>
        </w:numPr>
        <w:spacing w:before="120" w:after="120" w:line="288"/>
        <w:jc w:val="left"/>
      </w:pPr>
      <w:r>
        <w:t xml:space="preserve">Confirm that subscribers with temporary numbers have been created.  </w:t>
      </w:r>
    </w:p>
    <w:p>
      <w:pPr>
        <w:pStyle w:val="ListParagraph"/>
        <w:numPr>
          <w:ilvl w:val="0"/>
          <w:numId w:val="30"/>
        </w:numPr>
        <w:spacing w:before="120" w:after="120" w:line="288"/>
        <w:jc w:val="left"/>
      </w:pPr>
      <w:r>
        <w:t xml:space="preserve">Map the customer's account number to the PBX account ID in Zoom OP. </w:t>
      </w:r>
    </w:p>
    <w:p>
      <w:pPr>
        <w:pStyle w:val="ListParagraph"/>
        <w:numPr>
          <w:ilvl w:val="0"/>
          <w:numId w:val="31"/>
        </w:numPr>
        <w:spacing w:before="120" w:after="120" w:line="288"/>
        <w:jc w:val="left"/>
      </w:pPr>
      <w:r>
        <w:rPr>
          <w:b w:val="true"/>
          <w:bCs w:val="true"/>
        </w:rPr>
        <w:t xml:space="preserve">Execute Number Swap:</w:t>
      </w:r>
      <w:r>
        <w:t xml:space="preserve"> Access the Number Swap tool in OP. Replace the existing temporary number assigned to the subscriber with the customer's requested port-in number. </w:t>
      </w:r>
    </w:p>
    <w:p>
      <w:pPr>
        <w:pStyle w:val="ListParagraph"/>
        <w:numPr>
          <w:ilvl w:val="0"/>
          <w:numId w:val="32"/>
        </w:numPr>
        <w:spacing w:before="120" w:after="120" w:line="288"/>
        <w:jc w:val="left"/>
      </w:pPr>
      <w:r>
        <w:rPr>
          <w:b w:val="true"/>
          <w:bCs w:val="true"/>
        </w:rPr>
        <w:t xml:space="preserve">Remove Temporary Number:</w:t>
      </w:r>
      <w:r>
        <w:t xml:space="preserve"> Delete the temporary number from the Zoom Number Pool using OP. </w:t>
      </w:r>
    </w:p>
    <w:p>
      <w:pPr>
        <w:pStyle w:val="ListParagraph"/>
        <w:numPr>
          <w:ilvl w:val="0"/>
          <w:numId w:val="33"/>
        </w:numPr>
        <w:spacing w:before="120" w:after="120" w:line="288"/>
        <w:jc w:val="left"/>
      </w:pPr>
      <w:r>
        <w:rPr>
          <w:b w:val="true"/>
          <w:bCs w:val="true"/>
        </w:rPr>
        <w:t xml:space="preserve">Submit Port Request:</w:t>
      </w:r>
      <w:r>
        <w:t xml:space="preserve"> Once the number swap is complete and the temporary number has been deleted from the Zoom Pool, submit the port-in request to Tango through the Tango Control Panel. </w:t>
      </w:r>
      <w:hyperlink r:id="rId7">
        <w:r>
          <w:rPr>
            <w:rStyle w:val="Hyperlink"/>
          </w:rPr>
          <w:t xml:space="preserve">https://docs.zoom.us/doc/hWi_hhlxTQ27YSL3X6fV1w</w:t>
        </w:r>
      </w:hyperlink>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34"/>
              </w:numPr>
              <w:spacing w:before="120" w:after="120" w:line="288"/>
              <w:jc w:val="left"/>
            </w:pPr>
            <w:r>
              <w:rPr>
                <w:b w:val="true"/>
                <w:bCs w:val="true"/>
                <w:color w:val="2A2B2D"/>
              </w:rPr>
              <w:t xml:space="preserve">Account Identification:</w:t>
            </w:r>
          </w:p>
          <w:p>
            <w:pPr>
              <w:pStyle w:val="ListParagraph"/>
              <w:numPr>
                <w:ilvl w:val="0"/>
                <w:numId w:val="35"/>
              </w:numPr>
              <w:spacing w:before="120" w:after="120" w:line="288"/>
              <w:jc w:val="left"/>
            </w:pPr>
            <w:r>
              <w:rPr>
                <w:color w:val="2A2B2D"/>
              </w:rPr>
              <w:t xml:space="preserve">The Group represents the customer account.</w:t>
            </w:r>
          </w:p>
          <w:p>
            <w:pPr>
              <w:pStyle w:val="ListParagraph"/>
              <w:numPr>
                <w:ilvl w:val="0"/>
                <w:numId w:val="36"/>
              </w:numPr>
              <w:spacing w:before="120" w:after="120" w:line="288"/>
              <w:jc w:val="left"/>
            </w:pPr>
            <w:r>
              <w:rPr>
                <w:color w:val="2A2B2D"/>
              </w:rPr>
              <w:t xml:space="preserve">The PBX account ID is Zoom’s internal identifier used for Tango searches.</w:t>
            </w:r>
          </w:p>
        </w:tc>
      </w:tr>
    </w:tbl>
    <w:p>
      <w:pPr>
        <w:pStyle w:val="Heading3"/>
        <w:spacing w:before="120" w:after="120" w:line="288"/>
        <w:jc w:val="left"/>
      </w:pPr>
      <w:bookmarkStart w:name="_Toc11" w:id="11"/>
      <w:r>
        <w:rPr/>
        <w:t xml:space="preserve">3.7. Port Cutover and Number Reuse </w:t>
      </w:r>
      <w:r>
        <w:t xml:space="preserve">(Current State)</w:t>
      </w:r>
      <w:bookmarkEnd w:id="11"/>
    </w:p>
    <w:p>
      <w:pPr>
        <w:spacing w:before="120" w:after="120" w:line="288"/>
        <w:jc w:val="left"/>
      </w:pPr>
      <w:r>
        <w:rPr>
          <w:color w:val="2A2B2D"/>
        </w:rPr>
        <w:t xml:space="preserve">At the scheduled port cutover time, the ported-in number becomes active on the subscriber, and the temporary number is removed from the Tango Control Panel.</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b w:val="true"/>
                <w:bCs w:val="true"/>
                <w:color w:val="#285AB6"/>
              </w:rPr>
              <w:t xml:space="preserve">At the scheduled port cut over time: </w:t>
            </w:r>
          </w:p>
          <w:p>
            <w:pPr>
              <w:pStyle w:val="ListParagraph"/>
              <w:numPr>
                <w:ilvl w:val="0"/>
                <w:numId w:val="37"/>
              </w:numPr>
              <w:spacing w:before="120" w:after="120" w:line="288"/>
              <w:jc w:val="left"/>
            </w:pPr>
            <w:r>
              <w:rPr>
                <w:color w:val="#285AB6"/>
              </w:rPr>
              <w:t xml:space="preserve">The temporary number is removed from the subscriber in the Tango Control Panel and </w:t>
            </w:r>
            <w:r>
              <w:rPr>
                <w:color w:val="#285AB6"/>
              </w:rPr>
              <w:t xml:space="preserve"> the temp number is not reusable in Zoom again. </w:t>
            </w:r>
          </w:p>
          <w:p>
            <w:pPr>
              <w:pStyle w:val="ListParagraph"/>
              <w:numPr>
                <w:ilvl w:val="0"/>
                <w:numId w:val="38"/>
              </w:numPr>
              <w:spacing w:before="120" w:after="120" w:line="288"/>
              <w:jc w:val="left"/>
            </w:pPr>
            <w:r>
              <w:rPr>
                <w:color w:val="#285AB6"/>
              </w:rPr>
              <w:t xml:space="preserve">The temporary number is replaced during the porting process and is removed from the Tango Control Panel and will no longer be accessible for use by Zoom.</w:t>
            </w:r>
            <w:r>
              <w:rPr>
                <w:color w:val="#285AB6"/>
              </w:rPr>
              <w:t xml:space="preserve"> Therefore before porting request is raised ensure that the temp number is removed from Zoom number pool </w:t>
            </w:r>
          </w:p>
          <w:p>
            <w:pPr>
              <w:pStyle w:val="ListParagraph"/>
              <w:numPr>
                <w:ilvl w:val="0"/>
                <w:numId w:val="39"/>
              </w:numPr>
              <w:spacing w:before="120" w:after="120" w:line="288"/>
              <w:jc w:val="left"/>
            </w:pPr>
            <w:r>
              <w:rPr>
                <w:color w:val="#285AB6"/>
              </w:rPr>
              <w:t xml:space="preserve">The eSim assigned to the subscriber remains unchanged during the porting process. Porting replaces only the phone number associated with the subscriber. </w:t>
            </w:r>
          </w:p>
        </w:tc>
      </w:tr>
    </w:tbl>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b w:val="true"/>
                <w:bCs w:val="true"/>
                <w:color w:val="E73F3F"/>
              </w:rPr>
              <w:t xml:space="preserve">Note: Future State - Tango Callback Integration (Not Yet Available)</w:t>
            </w:r>
          </w:p>
          <w:p>
            <w:pPr>
              <w:spacing w:before="120" w:after="120" w:line="288"/>
              <w:jc w:val="left"/>
            </w:pPr>
            <w:r>
              <w:rPr>
                <w:color w:val="#285AB6"/>
              </w:rPr>
              <w:t xml:space="preserve">In a future state, Tango is expected to provide a callback upon successful port completion. Once implemented, the port cutover process will be updated as follows:</w:t>
            </w:r>
          </w:p>
          <w:p>
            <w:pPr>
              <w:pStyle w:val="ListParagraph"/>
              <w:numPr>
                <w:ilvl w:val="0"/>
                <w:numId w:val="40"/>
              </w:numPr>
              <w:spacing w:before="120" w:after="120" w:line="288"/>
              <w:jc w:val="left"/>
            </w:pPr>
            <w:r>
              <w:rPr>
                <w:color w:val="#285AB6"/>
              </w:rPr>
              <w:t xml:space="preserve">The temporary number is replaced by the ported-in number. </w:t>
            </w:r>
          </w:p>
          <w:p>
            <w:pPr>
              <w:pStyle w:val="ListParagraph"/>
              <w:numPr>
                <w:ilvl w:val="0"/>
                <w:numId w:val="41"/>
              </w:numPr>
              <w:spacing w:before="120" w:after="120" w:line="288"/>
              <w:jc w:val="left"/>
            </w:pPr>
            <w:r>
              <w:rPr>
                <w:color w:val="#285AB6"/>
              </w:rPr>
              <w:t xml:space="preserve">The temporary number is removed from Tango Control Panel and cannot be used again once it has been replaced by the ported-in number.</w:t>
            </w:r>
          </w:p>
          <w:p>
            <w:pPr>
              <w:pStyle w:val="ListParagraph"/>
              <w:numPr>
                <w:ilvl w:val="0"/>
                <w:numId w:val="42"/>
              </w:numPr>
              <w:spacing w:before="120" w:after="120" w:line="288"/>
              <w:jc w:val="left"/>
            </w:pPr>
            <w:r>
              <w:rPr>
                <w:color w:val="#285AB6"/>
              </w:rPr>
              <w:t xml:space="preserve">Tango will send a callback indicating port success and port-in number.</w:t>
            </w:r>
          </w:p>
          <w:p>
            <w:pPr>
              <w:pStyle w:val="ListParagraph"/>
              <w:numPr>
                <w:ilvl w:val="0"/>
                <w:numId w:val="43"/>
              </w:numPr>
              <w:spacing w:before="120" w:after="120" w:line="288"/>
              <w:jc w:val="left"/>
            </w:pPr>
            <w:r>
              <w:rPr>
                <w:color w:val="#285AB6"/>
              </w:rPr>
              <w:t xml:space="preserve">Zoom will subscribe to the callback and perform the number swap at Zoom Level upon receipt of the call back(Zoom Dev work planned based on work completed for step 3). </w:t>
            </w:r>
          </w:p>
          <w:p>
            <w:pPr>
              <w:pStyle w:val="ListParagraph"/>
              <w:numPr>
                <w:ilvl w:val="0"/>
                <w:numId w:val="44"/>
              </w:numPr>
              <w:spacing w:before="120" w:after="120" w:line="288"/>
              <w:jc w:val="left"/>
            </w:pPr>
            <w:r>
              <w:rPr>
                <w:color w:val="#285AB6"/>
              </w:rPr>
              <w:t xml:space="preserve">The temporary number will then be removed from the Zoom number pool and will not be reusable(Zoom Dev work planned based on work completed for step 3). </w:t>
            </w:r>
          </w:p>
          <w:p>
            <w:pPr>
              <w:pStyle w:val="ListParagraph"/>
              <w:numPr>
                <w:ilvl w:val="0"/>
                <w:numId w:val="45"/>
              </w:numPr>
              <w:spacing w:before="120" w:after="120" w:line="288"/>
              <w:jc w:val="left"/>
            </w:pPr>
            <w:r>
              <w:rPr>
                <w:color w:val="#285AB6"/>
              </w:rPr>
              <w:t xml:space="preserve">Port Complete. </w:t>
            </w:r>
          </w:p>
          <w:p>
            <w:pPr>
              <w:spacing w:before="120" w:after="120" w:line="288"/>
              <w:jc w:val="left"/>
            </w:pPr>
          </w:p>
          <w:p>
            <w:pPr>
              <w:spacing w:before="120" w:after="120" w:line="288"/>
              <w:jc w:val="left"/>
            </w:pPr>
            <w:r>
              <w:rPr>
                <w:color w:val="#285AB6"/>
              </w:rPr>
              <w:t xml:space="preserve">This eliminates the need for the Porting team to perform a manual number swap prior to port submission. </w:t>
            </w:r>
          </w:p>
          <w:p>
            <w:pPr>
              <w:spacing w:before="120" w:after="120" w:line="288"/>
              <w:jc w:val="left"/>
            </w:pPr>
            <w:r>
              <w:rPr>
                <w:i w:val="true"/>
                <w:iCs w:val="true"/>
                <w:color w:val="#285AB6"/>
              </w:rPr>
              <w:t xml:space="preserve">The above workflow is not currently available and is dependent on Tango providing callback capabilities. </w:t>
            </w:r>
          </w:p>
        </w:tc>
      </w:tr>
    </w:tbl>
    <w:p>
      <w:pPr>
        <w:spacing w:before="120" w:after="120" w:line="288"/>
        <w:jc w:val="left"/>
      </w:pPr>
    </w:p>
    <w:p>
      <w:pPr>
        <w:pBdr>
          <w:bottom w:val="single" w:color="000000" w:sz="6" w:space="1"/>
          <w:between w:val="single" w:color="000000" w:sz="6" w:space="1"/>
        </w:pBdr>
        <w:spacing w:before="120" w:after="120" w:line="288" w:lineRule="auto"/>
        <w:ind w:left="0"/>
      </w:pPr>
    </w:p>
    <w:p>
      <w:pPr>
        <w:spacing w:before="120" w:after="120" w:line="288"/>
        <w:jc w:val="left"/>
      </w:pPr>
    </w:p>
    <w:p>
      <w:pPr>
        <w:pStyle w:val="Heading2"/>
        <w:spacing w:before="120" w:after="120" w:line="288"/>
        <w:jc w:val="left"/>
      </w:pPr>
      <w:bookmarkStart w:name="_Toc12" w:id="12"/>
      <w:r>
        <w:t xml:space="preserve">Tango Porting Request Workflow - Mobility Porting Team </w:t>
      </w:r>
      <w:bookmarkEnd w:id="12"/>
    </w:p>
    <w:p>
      <w:pPr>
        <w:pStyle w:val="Heading3"/>
        <w:spacing w:before="120" w:after="120" w:line="288"/>
        <w:jc w:val="left"/>
      </w:pPr>
      <w:bookmarkStart w:name="_Toc13" w:id="13"/>
      <w:r>
        <w:rPr>
          <w:b w:val="true"/>
          <w:bCs w:val="true"/>
        </w:rPr>
        <w:t xml:space="preserve">Prerequisites</w:t>
      </w:r>
      <w:bookmarkEnd w:id="13"/>
    </w:p>
    <w:p>
      <w:pPr>
        <w:spacing w:before="120" w:after="120" w:line="288"/>
        <w:jc w:val="left"/>
      </w:pPr>
      <w:r>
        <w:rPr>
          <w:b w:val="true"/>
          <w:bCs w:val="true"/>
        </w:rPr>
        <w:t xml:space="preserve">Required Access</w:t>
      </w:r>
    </w:p>
    <w:p>
      <w:pPr>
        <w:pStyle w:val="ListParagraph"/>
        <w:numPr>
          <w:ilvl w:val="0"/>
          <w:numId w:val="46"/>
        </w:numPr>
        <w:spacing w:before="120" w:after="120" w:line="288"/>
        <w:jc w:val="left"/>
      </w:pPr>
      <w:r>
        <w:t xml:space="preserve">Active login credentials for </w:t>
      </w:r>
      <w:r>
        <w:rPr>
          <w:b w:val="true"/>
          <w:bCs w:val="true"/>
        </w:rPr>
        <w:t xml:space="preserve">controlpanel.tango-networks.com</w:t>
      </w:r>
    </w:p>
    <w:p>
      <w:pPr>
        <w:pStyle w:val="ListParagraph"/>
        <w:numPr>
          <w:ilvl w:val="0"/>
          <w:numId w:val="47"/>
        </w:numPr>
        <w:spacing w:before="120" w:after="120" w:line="288"/>
        <w:jc w:val="left"/>
      </w:pPr>
      <w:r>
        <w:rPr>
          <w:b w:val="true"/>
          <w:bCs w:val="true"/>
        </w:rPr>
        <w:t xml:space="preserve">Home → </w:t>
      </w:r>
      <w:r>
        <w:rPr>
          <w:b w:val="true"/>
          <w:bCs w:val="true"/>
          <w:strike w:val="true"/>
        </w:rPr>
        <w:t xml:space="preserve">Zoom_POC</w:t>
      </w:r>
      <w:r>
        <w:t xml:space="preserve"> </w:t>
      </w:r>
      <w:r>
        <w:rPr>
          <w:b w:val="true"/>
          <w:bCs w:val="true"/>
        </w:rPr>
        <w:t xml:space="preserve">Zoom</w:t>
      </w:r>
      <w:r>
        <w:t xml:space="preserve"> </w:t>
      </w:r>
    </w:p>
    <w:p>
      <w:pPr>
        <w:pStyle w:val="ListParagraph"/>
        <w:numPr>
          <w:ilvl w:val="0"/>
          <w:numId w:val="48"/>
        </w:numPr>
        <w:spacing w:before="120" w:after="120" w:line="288"/>
        <w:jc w:val="left"/>
      </w:pPr>
      <w:r>
        <w:t xml:space="preserve">Permissions to access </w:t>
      </w:r>
      <w:r>
        <w:rPr>
          <w:b w:val="true"/>
          <w:bCs w:val="true"/>
        </w:rPr>
        <w:t xml:space="preserve">Reseller</w:t>
      </w:r>
      <w:r>
        <w:t xml:space="preserve">, </w:t>
      </w:r>
      <w:r>
        <w:rPr>
          <w:b w:val="true"/>
          <w:bCs w:val="true"/>
        </w:rPr>
        <w:t xml:space="preserve">Group</w:t>
      </w:r>
      <w:r>
        <w:t xml:space="preserve">, and </w:t>
      </w:r>
      <w:r>
        <w:rPr>
          <w:b w:val="true"/>
          <w:bCs w:val="true"/>
        </w:rPr>
        <w:t xml:space="preserve">Subscriber</w:t>
      </w:r>
      <w:r>
        <w:t xml:space="preserve"> management sections</w:t>
      </w:r>
    </w:p>
    <w:p>
      <w:pPr>
        <w:pStyle w:val="ListParagraph"/>
        <w:numPr>
          <w:ilvl w:val="0"/>
          <w:numId w:val="49"/>
        </w:numPr>
        <w:spacing w:before="120" w:after="120" w:line="288"/>
        <w:jc w:val="left"/>
      </w:pPr>
      <w:r>
        <w:t xml:space="preserve">Access to the </w:t>
      </w:r>
      <w:r>
        <w:rPr>
          <w:b w:val="true"/>
          <w:bCs w:val="true"/>
        </w:rPr>
        <w:t xml:space="preserve">Numbers</w:t>
      </w:r>
      <w:r>
        <w:t xml:space="preserve"> and </w:t>
      </w:r>
      <w:r>
        <w:rPr>
          <w:b w:val="true"/>
          <w:bCs w:val="true"/>
        </w:rPr>
        <w:t xml:space="preserve">Porting</w:t>
      </w:r>
      <w:r>
        <w:t xml:space="preserve"> menus</w:t>
      </w:r>
    </w:p>
    <w:p>
      <w:pPr>
        <w:spacing w:before="120" w:after="120" w:line="288"/>
        <w:jc w:val="left"/>
      </w:pPr>
    </w:p>
    <w:p>
      <w:pPr>
        <w:pStyle w:val="Heading3"/>
        <w:spacing w:before="120" w:after="120" w:line="288"/>
        <w:jc w:val="left"/>
      </w:pPr>
      <w:bookmarkStart w:name="_Toc14" w:id="14"/>
      <w:r>
        <w:rPr>
          <w:b w:val="true"/>
          <w:bCs w:val="true"/>
        </w:rPr>
        <w:t xml:space="preserve">Port In Requirements</w:t>
      </w:r>
      <w:bookmarkEnd w:id="14"/>
    </w:p>
    <w:p>
      <w:pPr>
        <w:pStyle w:val="ListParagraph"/>
        <w:numPr>
          <w:ilvl w:val="0"/>
          <w:numId w:val="50"/>
        </w:numPr>
        <w:spacing w:before="120" w:after="120" w:line="288"/>
        <w:jc w:val="left"/>
      </w:pPr>
      <w:r>
        <w:rPr>
          <w:b w:val="true"/>
          <w:bCs w:val="true"/>
        </w:rPr>
        <w:t xml:space="preserve">PAC Code:</w:t>
      </w:r>
      <w:r>
        <w:t xml:space="preserve"> Provided by customer's current carrier. </w:t>
      </w:r>
    </w:p>
    <w:p>
      <w:pPr>
        <w:pStyle w:val="ListParagraph"/>
        <w:numPr>
          <w:ilvl w:val="0"/>
          <w:numId w:val="51"/>
        </w:numPr>
        <w:spacing w:before="120" w:after="120" w:line="288"/>
        <w:jc w:val="left"/>
      </w:pPr>
      <w:r>
        <w:rPr>
          <w:b w:val="true"/>
          <w:bCs w:val="true"/>
        </w:rPr>
        <w:t xml:space="preserve">PAC Expiry Date:</w:t>
      </w:r>
      <w:r>
        <w:t xml:space="preserve"> Ideally will have at least 2 to 3 weeks validity remaining (valid for 30 days)</w:t>
      </w:r>
    </w:p>
    <w:p>
      <w:pPr>
        <w:pStyle w:val="ListParagraph"/>
        <w:numPr>
          <w:ilvl w:val="0"/>
          <w:numId w:val="52"/>
        </w:numPr>
        <w:spacing w:before="120" w:after="120" w:line="288"/>
        <w:jc w:val="left"/>
      </w:pPr>
      <w:r>
        <w:rPr>
          <w:b w:val="true"/>
          <w:bCs w:val="true"/>
        </w:rPr>
        <w:t xml:space="preserve">Number to be Ported:</w:t>
      </w:r>
      <w:r>
        <w:t xml:space="preserve"> Number customer wishes to transfer (must match the PAC code)</w:t>
      </w:r>
    </w:p>
    <w:p>
      <w:pPr>
        <w:pStyle w:val="ListParagraph"/>
        <w:numPr>
          <w:ilvl w:val="0"/>
          <w:numId w:val="53"/>
        </w:numPr>
        <w:spacing w:before="120" w:after="120" w:line="288"/>
        <w:jc w:val="left"/>
      </w:pPr>
      <w:r>
        <w:rPr>
          <w:b w:val="true"/>
          <w:bCs w:val="true"/>
        </w:rPr>
        <w:t xml:space="preserve">Temporary Number:</w:t>
      </w:r>
      <w:r>
        <w:t xml:space="preserve"> </w:t>
      </w:r>
      <w:r>
        <w:rPr>
          <w:strike w:val="true"/>
        </w:rPr>
        <w:t xml:space="preserve">Already assigned to the subscriber on the Tango system</w:t>
      </w:r>
      <w:r>
        <w:t xml:space="preserve"> , Already assigned to the subscriber and synchronized to the Tango Control Panel from the Zoom Admin Portal.</w:t>
      </w:r>
    </w:p>
    <w:p>
      <w:pPr>
        <w:pStyle w:val="ListParagraph"/>
        <w:numPr>
          <w:ilvl w:val="0"/>
          <w:numId w:val="54"/>
        </w:numPr>
        <w:spacing w:before="120" w:after="120" w:line="288"/>
        <w:jc w:val="left"/>
      </w:pPr>
      <w:r>
        <w:rPr>
          <w:b w:val="true"/>
          <w:bCs w:val="true"/>
        </w:rPr>
        <w:t xml:space="preserve">Requested Port Date:</w:t>
      </w:r>
      <w:r>
        <w:t xml:space="preserve"> Customer’s desired completion date</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b w:val="true"/>
                <w:bCs w:val="true"/>
                <w:color w:val="#285AB6"/>
              </w:rPr>
              <w:t xml:space="preserve">Note: Temporary Number Assignment </w:t>
            </w:r>
          </w:p>
          <w:p>
            <w:pPr>
              <w:spacing w:before="120" w:after="120" w:line="288"/>
              <w:jc w:val="left"/>
            </w:pPr>
            <w:r>
              <w:rPr>
                <w:color w:val="#285AB6"/>
              </w:rPr>
              <w:t xml:space="preserve">When an Admin creates a new subscriber with the Zoom Phone Mobile SKU in the Zoom Admin Portal:</w:t>
            </w:r>
          </w:p>
          <w:p>
            <w:pPr>
              <w:pStyle w:val="ListParagraph"/>
              <w:numPr>
                <w:ilvl w:val="0"/>
                <w:numId w:val="55"/>
              </w:numPr>
              <w:spacing w:before="120" w:after="120" w:line="288"/>
              <w:jc w:val="left"/>
            </w:pPr>
            <w:r>
              <w:rPr>
                <w:color w:val="#285AB6"/>
              </w:rPr>
              <w:t xml:space="preserve">The admin selects a temporary number from the available Zoom Number Pool.</w:t>
            </w:r>
          </w:p>
          <w:p>
            <w:pPr>
              <w:pStyle w:val="ListParagraph"/>
              <w:numPr>
                <w:ilvl w:val="0"/>
                <w:numId w:val="56"/>
              </w:numPr>
              <w:spacing w:before="120" w:after="120" w:line="288"/>
              <w:jc w:val="left"/>
            </w:pPr>
            <w:r>
              <w:rPr>
                <w:color w:val="#285AB6"/>
              </w:rPr>
              <w:t xml:space="preserve">The subscriber record is automatically synchronized between Zoom and Tango, making it immediately available in the Tango Control Panel.</w:t>
            </w:r>
          </w:p>
          <w:p>
            <w:pPr>
              <w:spacing w:before="120" w:after="120" w:line="288"/>
              <w:jc w:val="left"/>
            </w:pPr>
            <w:r>
              <w:rPr>
                <w:color w:val="#285AB6"/>
              </w:rPr>
              <w:t xml:space="preserve">This temporary number ensures the subscriber record is synchronized to the Tango Control Panel before the port request is submitted. At port cutover, the ported number automatically replaces the temporary number</w:t>
            </w:r>
            <w:r>
              <w:rPr>
                <w:color w:val="#285AB6"/>
              </w:rPr>
              <w:t xml:space="preserve"> in Tango systems. To do the same in Zoom systems the porting is going to use the "Swap" function before the porting request is raised</w:t>
            </w:r>
            <w:r>
              <w:rPr>
                <w:color w:val="#285AB6"/>
              </w:rPr>
              <w:t xml:space="preserve">.</w:t>
            </w:r>
          </w:p>
        </w:tc>
      </w:tr>
    </w:tbl>
    <w:p>
      <w:pPr>
        <w:pStyle w:val="Heading3"/>
        <w:spacing w:before="120" w:after="120" w:line="288"/>
        <w:jc w:val="left"/>
      </w:pPr>
      <w:bookmarkStart w:name="_Toc15" w:id="15"/>
      <w:r>
        <w:rPr>
          <w:b w:val="true"/>
          <w:bCs w:val="true"/>
        </w:rPr>
        <w:t xml:space="preserve">Pre-Provisioning Requirement</w:t>
      </w:r>
      <w:bookmarkEnd w:id="15"/>
    </w:p>
    <w:p>
      <w:pPr>
        <w:spacing w:before="120" w:after="120" w:line="288"/>
        <w:jc w:val="left"/>
      </w:pPr>
      <w:r>
        <w:rPr>
          <w:b w:val="true"/>
          <w:bCs w:val="true"/>
        </w:rPr>
        <w:t xml:space="preserve">Before submitting a port request, ensure the subscriber is fully provisioned in Tango's system with a Temporary DDI (Temporary Number).</w:t>
      </w:r>
    </w:p>
    <w:p>
      <w:pPr>
        <w:spacing w:before="120" w:after="120" w:line="288"/>
        <w:jc w:val="left"/>
      </w:pPr>
      <w:r>
        <w:t xml:space="preserve">When viewing the subscriber at the subscriber level, the configuration will match that of any standard subscriber, displaying the following:</w:t>
      </w:r>
    </w:p>
    <w:p>
      <w:pPr>
        <w:pStyle w:val="ListParagraph"/>
        <w:numPr>
          <w:ilvl w:val="0"/>
          <w:numId w:val="57"/>
        </w:numPr>
        <w:spacing w:before="120" w:after="120" w:line="288"/>
        <w:jc w:val="left"/>
      </w:pPr>
      <w:r>
        <w:t xml:space="preserve">SIM and Telephone Number are paired together </w:t>
      </w:r>
    </w:p>
    <w:p>
      <w:pPr>
        <w:pStyle w:val="ListParagraph"/>
        <w:numPr>
          <w:ilvl w:val="0"/>
          <w:numId w:val="58"/>
        </w:numPr>
        <w:spacing w:before="120" w:after="120" w:line="288"/>
        <w:jc w:val="left"/>
      </w:pPr>
      <w:r>
        <w:t xml:space="preserve">Service bundle selected</w:t>
      </w:r>
    </w:p>
    <w:p>
      <w:pPr>
        <w:pStyle w:val="ListParagraph"/>
        <w:numPr>
          <w:ilvl w:val="0"/>
          <w:numId w:val="59"/>
        </w:numPr>
        <w:spacing w:before="120" w:after="120" w:line="288"/>
        <w:jc w:val="left"/>
      </w:pPr>
      <w:r>
        <w:t xml:space="preserve">Roaming policy configured</w:t>
      </w:r>
    </w:p>
    <w:p>
      <w:pPr>
        <w:pStyle w:val="ListParagraph"/>
        <w:numPr>
          <w:ilvl w:val="0"/>
          <w:numId w:val="60"/>
        </w:numPr>
        <w:spacing w:before="120" w:after="120" w:line="288"/>
        <w:jc w:val="left"/>
      </w:pPr>
      <w:r>
        <w:t xml:space="preserve">Active SIM Status </w:t>
      </w:r>
      <w:r>
        <w:t xml:space="preserve">(Might not be Active if the user has still not installed the eSIM, poirt can still proceed)</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61"/>
              </w:numPr>
              <w:spacing w:before="120" w:after="120" w:line="288"/>
              <w:jc w:val="left"/>
            </w:pPr>
            <w:r>
              <w:rPr>
                <w:color w:val="#285AB6"/>
              </w:rPr>
              <w:t xml:space="preserve">The temporary number and SIM will remain in use until the porting process completes, at which point only the phone number changes—the SIM card itself does not change.</w:t>
            </w:r>
          </w:p>
          <w:p>
            <w:pPr>
              <w:pStyle w:val="ListParagraph"/>
              <w:numPr>
                <w:ilvl w:val="0"/>
                <w:numId w:val="62"/>
              </w:numPr>
              <w:spacing w:before="120" w:after="120" w:line="288"/>
              <w:jc w:val="left"/>
            </w:pPr>
            <w:r>
              <w:rPr>
                <w:color w:val="#285AB6"/>
              </w:rPr>
              <w:t xml:space="preserve">The port will proceed as long as the subscriber exists in the Tango Control Panel</w:t>
            </w:r>
            <w:r>
              <w:rPr>
                <w:b w:val="true"/>
                <w:bCs w:val="true"/>
                <w:color w:val="#285AB6"/>
              </w:rPr>
              <w:t xml:space="preserve"> </w:t>
            </w:r>
            <w:r>
              <w:rPr>
                <w:color w:val="#285AB6"/>
              </w:rPr>
              <w:t xml:space="preserve">and the port details are submitted correctly, eSIM installation on the device is not required for port completion. </w:t>
            </w:r>
            <w:hyperlink r:id="rId8">
              <w:r>
                <w:rPr>
                  <w:color w:val="#285AB6"/>
                  <w:rStyle w:val="Hyperlink"/>
                </w:rPr>
                <w:t xml:space="preserve">https://docs.zoom.us/doc/hWi_hhlxTQ27YSL3X6fV1w</w:t>
              </w:r>
            </w:hyperlink>
          </w:p>
        </w:tc>
      </w:tr>
    </w:tbl>
    <w:p>
      <w:pPr>
        <w:pStyle w:val="Heading3"/>
        <w:spacing w:before="120" w:after="120" w:line="288"/>
        <w:jc w:val="left"/>
      </w:pPr>
      <w:bookmarkStart w:name="_Toc16" w:id="16"/>
      <w:r>
        <w:rPr>
          <w:b w:val="true"/>
          <w:bCs w:val="true"/>
        </w:rPr>
        <w:t xml:space="preserve">Step-by-Step Procedure: Confirm Subscriber and Submit Porting Request</w:t>
      </w:r>
      <w:bookmarkEnd w:id="16"/>
    </w:p>
    <w:p>
      <w:pPr>
        <w:pStyle w:val="Heading4"/>
        <w:spacing w:before="120" w:after="120" w:line="288"/>
        <w:jc w:val="left"/>
      </w:pPr>
      <w:bookmarkStart w:name="_Toc17" w:id="17"/>
      <w:r>
        <w:rPr>
          <w:b w:val="true"/>
          <w:bCs w:val="true"/>
        </w:rPr>
        <w:t xml:space="preserve">Locate the Subscriber</w:t>
      </w:r>
      <w:bookmarkEnd w:id="17"/>
    </w:p>
    <w:p>
      <w:pPr>
        <w:pStyle w:val="ListParagraph"/>
        <w:numPr>
          <w:ilvl w:val="0"/>
          <w:numId w:val="63"/>
        </w:numPr>
        <w:spacing w:before="120" w:after="120" w:line="288"/>
        <w:jc w:val="left"/>
      </w:pPr>
      <w:r>
        <w:t xml:space="preserve">Determine which cluster the account belongs to. </w:t>
      </w:r>
    </w:p>
    <w:p>
      <w:pPr>
        <w:pStyle w:val="ListParagraph"/>
        <w:numPr>
          <w:ilvl w:val="0"/>
          <w:numId w:val="64"/>
        </w:numPr>
        <w:spacing w:before="120" w:after="120" w:line="288"/>
        <w:jc w:val="left"/>
      </w:pPr>
      <w:r>
        <w:rPr/>
        <w:t xml:space="preserve">Navigate to the appropriate </w:t>
      </w:r>
      <w:r>
        <w:rPr>
          <w:b w:val="true"/>
          <w:bCs w:val="true"/>
        </w:rPr>
        <w:t xml:space="preserve">Customer Group</w:t>
      </w:r>
      <w:r>
        <w:rPr/>
        <w:t xml:space="preserve"> within your </w:t>
      </w:r>
      <w:r>
        <w:rPr>
          <w:b w:val="true"/>
          <w:bCs w:val="true"/>
        </w:rPr>
        <w:t xml:space="preserve">Reseller</w:t>
      </w:r>
      <w:r>
        <w:rPr/>
        <w:t xml:space="preserve"> account.</w:t>
      </w:r>
    </w:p>
    <w:p>
      <w:pPr>
        <w:pStyle w:val="ListParagraph"/>
        <w:numPr>
          <w:ilvl w:val="0"/>
          <w:numId w:val="65"/>
        </w:numPr>
        <w:spacing w:before="120" w:after="120" w:line="288"/>
        <w:jc w:val="left"/>
      </w:pPr>
      <w:r>
        <w:rPr/>
        <w:t xml:space="preserve">Search for the customer account using the </w:t>
      </w:r>
      <w:r>
        <w:rPr>
          <w:b w:val="true"/>
          <w:bCs w:val="true"/>
        </w:rPr>
        <w:t xml:space="preserve">PBX account ID</w:t>
      </w:r>
      <w:r>
        <w:rPr/>
        <w:t xml:space="preserve"> ( the ID after the "group", which represents the </w:t>
      </w:r>
      <w:r>
        <w:rPr>
          <w:b w:val="true"/>
          <w:bCs w:val="true"/>
        </w:rPr>
        <w:t xml:space="preserve">customer account ID</w:t>
      </w:r>
      <w:r>
        <w:rPr/>
        <w:t xml:space="preserve"> in Zoom)</w:t>
      </w:r>
    </w:p>
    <w:p>
      <w:pPr>
        <w:pStyle w:val="ListParagraph"/>
        <w:numPr>
          <w:ilvl w:val="0"/>
          <w:numId w:val="66"/>
        </w:numPr>
        <w:spacing w:before="120" w:after="120" w:line="288"/>
        <w:jc w:val="left"/>
      </w:pPr>
      <w:r>
        <w:rPr/>
        <w:t xml:space="preserve">Search for the subscriber using their </w:t>
      </w:r>
      <w:r>
        <w:rPr>
          <w:b w:val="true"/>
          <w:bCs w:val="true"/>
        </w:rPr>
        <w:t xml:space="preserve">temporary number</w:t>
      </w:r>
      <w:r>
        <w:rPr/>
        <w:t xml:space="preserve"> (e.g., last 3–4 digits).</w:t>
      </w:r>
    </w:p>
    <w:p>
      <w:pPr>
        <w:pStyle w:val="ListParagraph"/>
        <w:numPr>
          <w:ilvl w:val="0"/>
          <w:numId w:val="67"/>
        </w:numPr>
        <w:spacing w:before="120" w:after="120" w:line="288"/>
        <w:jc w:val="left"/>
      </w:pPr>
      <w:r>
        <w:rPr>
          <w:strike w:val="true"/>
        </w:rPr>
        <w:t xml:space="preserve">Confirm the subscriber’s record appears with an </w:t>
      </w:r>
      <w:r>
        <w:rPr>
          <w:b w:val="true"/>
          <w:bCs w:val="true"/>
          <w:strike w:val="true"/>
        </w:rPr>
        <w:t xml:space="preserve">active status</w:t>
      </w:r>
      <w:r>
        <w:rPr>
          <w:strike w:val="true"/>
        </w:rPr>
        <w:t xml:space="preserve">.</w:t>
      </w:r>
    </w:p>
    <w:p>
      <w:pPr>
        <w:pStyle w:val="Heading4"/>
        <w:spacing w:before="120" w:after="120" w:line="288"/>
        <w:jc w:val="left"/>
      </w:pPr>
      <w:bookmarkStart w:name="_Toc18" w:id="18"/>
      <w:r>
        <w:rPr>
          <w:b w:val="true"/>
          <w:bCs w:val="true"/>
        </w:rPr>
        <w:t xml:space="preserve">Verify Subscriber Details</w:t>
      </w:r>
      <w:bookmarkEnd w:id="18"/>
    </w:p>
    <w:p>
      <w:pPr>
        <w:pStyle w:val="ListParagraph"/>
        <w:numPr>
          <w:ilvl w:val="0"/>
          <w:numId w:val="68"/>
        </w:numPr>
        <w:spacing w:before="120" w:after="120" w:line="288"/>
        <w:jc w:val="left"/>
      </w:pPr>
      <w:r>
        <w:t xml:space="preserve">Open the subscriber record.</w:t>
      </w:r>
    </w:p>
    <w:p>
      <w:pPr>
        <w:pStyle w:val="ListParagraph"/>
        <w:numPr>
          <w:ilvl w:val="0"/>
          <w:numId w:val="69"/>
        </w:numPr>
        <w:spacing w:before="120" w:after="120" w:line="288"/>
        <w:jc w:val="left"/>
      </w:pPr>
      <w:r>
        <w:t xml:space="preserve">Confirm the </w:t>
      </w:r>
      <w:r>
        <w:rPr>
          <w:b w:val="true"/>
          <w:bCs w:val="true"/>
        </w:rPr>
        <w:t xml:space="preserve">temporary DDI</w:t>
      </w:r>
      <w:r>
        <w:t xml:space="preserve">, </w:t>
      </w:r>
      <w:r>
        <w:rPr>
          <w:b w:val="true"/>
          <w:bCs w:val="true"/>
        </w:rPr>
        <w:t xml:space="preserve">SIM pairing</w:t>
      </w:r>
      <w:r>
        <w:t xml:space="preserve">, </w:t>
      </w:r>
      <w:r>
        <w:rPr>
          <w:b w:val="true"/>
          <w:bCs w:val="true"/>
        </w:rPr>
        <w:t xml:space="preserve">bundle</w:t>
      </w:r>
      <w:r>
        <w:t xml:space="preserve">, and </w:t>
      </w:r>
      <w:r>
        <w:rPr>
          <w:b w:val="true"/>
          <w:bCs w:val="true"/>
        </w:rPr>
        <w:t xml:space="preserve">roaming policy</w:t>
      </w:r>
      <w:r>
        <w:t xml:space="preserve"> are displayed and active.</w:t>
      </w:r>
    </w:p>
    <w:p>
      <w:pPr>
        <w:pStyle w:val="Heading4"/>
        <w:spacing w:before="120" w:after="120" w:line="288"/>
        <w:jc w:val="left"/>
      </w:pPr>
      <w:bookmarkStart w:name="_Toc19" w:id="19"/>
      <w:r>
        <w:rPr>
          <w:b w:val="true"/>
          <w:bCs w:val="true"/>
        </w:rPr>
        <w:t xml:space="preserve"> Access the Porting Request Menu</w:t>
      </w:r>
      <w:bookmarkEnd w:id="19"/>
    </w:p>
    <w:p>
      <w:pPr>
        <w:pStyle w:val="ListParagraph"/>
        <w:numPr>
          <w:ilvl w:val="0"/>
          <w:numId w:val="70"/>
        </w:numPr>
        <w:spacing w:before="120" w:after="120" w:line="288"/>
        <w:jc w:val="left"/>
      </w:pPr>
      <w:r>
        <w:t xml:space="preserve">From the subscriber record, navigate to </w:t>
      </w:r>
      <w:r>
        <w:rPr>
          <w:b w:val="true"/>
          <w:bCs w:val="true"/>
        </w:rPr>
        <w:t xml:space="preserve">Subscriber Level</w:t>
      </w:r>
      <w:r>
        <w:t xml:space="preserve"> → </w:t>
      </w:r>
      <w:r>
        <w:rPr>
          <w:b w:val="true"/>
          <w:bCs w:val="true"/>
        </w:rPr>
        <w:t xml:space="preserve">Numbers Menu</w:t>
      </w:r>
      <w:r>
        <w:t xml:space="preserve"> → </w:t>
      </w:r>
      <w:r>
        <w:rPr>
          <w:b w:val="true"/>
          <w:bCs w:val="true"/>
        </w:rPr>
        <w:t xml:space="preserve">Port in Request</w:t>
      </w:r>
    </w:p>
    <w:p>
      <w:pPr>
        <w:pStyle w:val="Heading4"/>
        <w:spacing w:before="120" w:after="120" w:line="288"/>
        <w:jc w:val="left"/>
      </w:pPr>
      <w:bookmarkStart w:name="_Toc20" w:id="20"/>
      <w:r>
        <w:rPr>
          <w:b w:val="true"/>
          <w:bCs w:val="true"/>
        </w:rPr>
        <w:t xml:space="preserve">Complete the Port-In Request Form</w:t>
      </w:r>
      <w:bookmarkEnd w:id="20"/>
    </w:p>
    <w:p>
      <w:r>
        <w:drawing>
          <wp:inline>
            <wp:extent cx="4152027" cy="2425362"/>
            <wp:effectExtent l="0" t="0" r="0" b="0"/>
            <wp:docPr id="0" name=""/>
            <wp:cNvGraphicFramePr>
              <a:graphicFrameLocks noChangeAspect="1"/>
            </wp:cNvGraphicFramePr>
            <a:graphic>
              <a:graphicData uri="http://schemas.openxmlformats.org/drawingml/2006/picture">
                <pic:pic>
                  <pic:nvPicPr>
                    <pic:cNvPr id="0" name=""/>
                    <pic:cNvPicPr/>
                  </pic:nvPicPr>
                  <pic:blipFill>
                    <a:blip r:embed="rId9"/>
                    <a:stretch/>
                  </pic:blipFill>
                  <pic:spPr>
                    <a:xfrm>
                      <a:off x="0" y="0"/>
                      <a:ext cx="4152027" cy="2425362"/>
                    </a:xfrm>
                    <a:prstGeom prst="rect"/>
                  </pic:spPr>
                </pic:pic>
              </a:graphicData>
            </a:graphic>
          </wp:inline>
        </w:drawing>
      </w:r>
    </w:p>
    <w:p>
      <w:pPr>
        <w:spacing w:before="120" w:after="120" w:line="288"/>
        <w:jc w:val="left"/>
      </w:pPr>
    </w:p>
    <w:p>
      <w:pPr>
        <w:spacing w:before="120" w:after="120" w:line="288"/>
        <w:jc w:val="left"/>
      </w:pPr>
      <w:r>
        <w:t xml:space="preserve">Fill in the following fields:</w:t>
      </w:r>
    </w:p>
    <w:p>
      <w:pPr>
        <w:pStyle w:val="ListParagraph"/>
        <w:numPr>
          <w:ilvl w:val="0"/>
          <w:numId w:val="71"/>
        </w:numPr>
        <w:spacing w:before="120" w:after="120" w:line="288"/>
        <w:jc w:val="left"/>
      </w:pPr>
      <w:r>
        <w:rPr>
          <w:b w:val="true"/>
          <w:bCs w:val="true"/>
        </w:rPr>
        <w:t xml:space="preserve">Number to be Ported In</w:t>
      </w:r>
      <w:r>
        <w:t xml:space="preserve"> – Customer’s existing number</w:t>
      </w:r>
    </w:p>
    <w:p>
      <w:pPr>
        <w:pStyle w:val="ListParagraph"/>
        <w:numPr>
          <w:ilvl w:val="0"/>
          <w:numId w:val="72"/>
        </w:numPr>
        <w:spacing w:before="120" w:after="120" w:line="288"/>
        <w:jc w:val="left"/>
      </w:pPr>
      <w:r>
        <w:rPr>
          <w:b w:val="true"/>
          <w:bCs w:val="true"/>
        </w:rPr>
        <w:t xml:space="preserve">PAC Code</w:t>
      </w:r>
      <w:r>
        <w:t xml:space="preserve"> – Provided by the customer’s current carrier.</w:t>
      </w:r>
    </w:p>
    <w:p>
      <w:pPr>
        <w:pStyle w:val="ListParagraph"/>
        <w:numPr>
          <w:ilvl w:val="0"/>
          <w:numId w:val="73"/>
        </w:numPr>
        <w:spacing w:before="120" w:after="120" w:line="288"/>
        <w:jc w:val="left"/>
      </w:pPr>
      <w:r>
        <w:rPr>
          <w:b w:val="true"/>
          <w:bCs w:val="true"/>
        </w:rPr>
        <w:t xml:space="preserve">Requested Port Date</w:t>
      </w:r>
      <w:r>
        <w:t xml:space="preserve"> – Select desired completion date</w:t>
      </w:r>
    </w:p>
    <w:p>
      <w:pPr>
        <w:pStyle w:val="ListParagraph"/>
        <w:numPr>
          <w:ilvl w:val="0"/>
          <w:numId w:val="74"/>
        </w:numPr>
        <w:spacing w:before="120" w:after="120" w:line="288"/>
        <w:jc w:val="left"/>
      </w:pPr>
      <w:r>
        <w:rPr>
          <w:b w:val="true"/>
          <w:bCs w:val="true"/>
        </w:rPr>
        <w:t xml:space="preserve">Number to Replace</w:t>
      </w:r>
      <w:r>
        <w:t xml:space="preserve"> – </w:t>
      </w:r>
      <w:r>
        <w:rPr>
          <w:color w:val="222124"/>
        </w:rPr>
        <w:t xml:space="preserve">Details may auto-populate based on the subscriber information from the current page you are viewing. Verify for accuracy before submitting.</w:t>
      </w:r>
    </w:p>
    <w:p>
      <w:pPr>
        <w:pStyle w:val="ListParagraph"/>
        <w:numPr>
          <w:ilvl w:val="0"/>
          <w:numId w:val="75"/>
        </w:numPr>
        <w:spacing w:before="120" w:after="120" w:line="288"/>
        <w:jc w:val="left"/>
      </w:pPr>
      <w:r>
        <w:t xml:space="preserve">Click </w:t>
      </w:r>
      <w:r>
        <w:rPr>
          <w:b w:val="true"/>
          <w:bCs w:val="true"/>
        </w:rPr>
        <w:t xml:space="preserve">Request Port In</w:t>
      </w:r>
      <w:r>
        <w:t xml:space="preserve"> to submit. The request is sent to the centralized porting system shared by all operators.</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b w:val="true"/>
                <w:bCs w:val="true"/>
                <w:color w:val="#285AB6"/>
              </w:rPr>
              <w:t xml:space="preserve">Important:</w:t>
            </w:r>
          </w:p>
          <w:p>
            <w:pPr>
              <w:pStyle w:val="ListParagraph"/>
              <w:numPr>
                <w:ilvl w:val="0"/>
                <w:numId w:val="76"/>
              </w:numPr>
              <w:spacing w:before="120" w:after="120" w:line="288"/>
              <w:jc w:val="left"/>
            </w:pPr>
            <w:r>
              <w:rPr>
                <w:color w:val="#285AB6"/>
              </w:rPr>
              <w:t xml:space="preserve">Once the port-in request is confirmed and completed, the temporary number (shown in the "Number to Replace" dropdown) will be automatically replaced with the ported number (shown in the "Number to be Ported In" dropdown).</w:t>
            </w:r>
          </w:p>
          <w:p>
            <w:pPr>
              <w:pStyle w:val="ListParagraph"/>
              <w:numPr>
                <w:ilvl w:val="0"/>
                <w:numId w:val="77"/>
              </w:numPr>
              <w:spacing w:before="120" w:after="120" w:line="288"/>
              <w:jc w:val="left"/>
            </w:pPr>
            <w:r>
              <w:rPr>
                <w:color w:val="#285AB6"/>
                <w:shd w:val="" w:fill="FFD75E"/>
              </w:rPr>
              <w:t xml:space="preserve">Tango supports </w:t>
            </w:r>
            <w:r>
              <w:rPr>
                <w:b w:val="true"/>
                <w:bCs w:val="true"/>
                <w:color w:val="#285AB6"/>
                <w:shd w:val="" w:fill="FFD75E"/>
              </w:rPr>
              <w:t xml:space="preserve">next</w:t>
            </w:r>
            <w:r>
              <w:rPr>
                <w:b w:val="true"/>
                <w:bCs w:val="true"/>
                <w:color w:val="#285AB6"/>
                <w:shd w:val="" w:fill="FFD75E"/>
              </w:rPr>
              <w:t xml:space="preserve"> business</w:t>
            </w:r>
            <w:r>
              <w:rPr>
                <w:b w:val="true"/>
                <w:bCs w:val="true"/>
                <w:color w:val="#285AB6"/>
                <w:shd w:val="" w:fill="FFD75E"/>
              </w:rPr>
              <w:t xml:space="preserve">-day porting</w:t>
            </w:r>
            <w:r>
              <w:rPr>
                <w:color w:val="#285AB6"/>
                <w:shd w:val="" w:fill="FFD75E"/>
              </w:rPr>
              <w:t xml:space="preserve">. However, the port-in request must be submitted by </w:t>
            </w:r>
            <w:r>
              <w:rPr>
                <w:b w:val="true"/>
                <w:bCs w:val="true"/>
                <w:color w:val="#285AB6"/>
                <w:shd w:val="" w:fill="FFD75E"/>
              </w:rPr>
              <w:t xml:space="preserve">4:30 PM UK local time</w:t>
            </w:r>
            <w:r>
              <w:rPr>
                <w:color w:val="#285AB6"/>
                <w:shd w:val="" w:fill="FFD75E"/>
              </w:rPr>
              <w:t xml:space="preserve">, on the previous business day. </w:t>
            </w:r>
            <w:r>
              <w:rPr>
                <w:strike w:val="true"/>
                <w:color w:val="#285AB6"/>
                <w:shd w:val="" w:fill="FFD75E"/>
              </w:rPr>
              <w:t xml:space="preserve">on the previous next business day.</w:t>
            </w:r>
          </w:p>
          <w:p>
            <w:pPr>
              <w:pStyle w:val="ListParagraph"/>
              <w:numPr>
                <w:ilvl w:val="0"/>
                <w:numId w:val="78"/>
              </w:numPr>
              <w:spacing w:before="120" w:after="120" w:line="288"/>
              <w:jc w:val="left"/>
            </w:pPr>
            <w:r>
              <w:rPr>
                <w:color w:val="#285AB6"/>
              </w:rPr>
              <w:t xml:space="preserve">This deadline applies regardless of whether the UK is observing GMT or BST.</w:t>
            </w:r>
          </w:p>
          <w:p>
            <w:pPr>
              <w:pStyle w:val="ListParagraph"/>
              <w:numPr>
                <w:ilvl w:val="0"/>
                <w:numId w:val="79"/>
              </w:numPr>
              <w:spacing w:before="120" w:after="120" w:line="288"/>
              <w:jc w:val="left"/>
            </w:pPr>
            <w:r>
              <w:rPr>
                <w:color w:val="#285AB6"/>
              </w:rPr>
              <w:t xml:space="preserve">The porting system is not entirely infallible, so there may be occasions where ports do not complete successfully.</w:t>
            </w:r>
          </w:p>
          <w:p>
            <w:pPr>
              <w:pStyle w:val="ListParagraph"/>
              <w:numPr>
                <w:ilvl w:val="0"/>
                <w:numId w:val="80"/>
              </w:numPr>
              <w:spacing w:before="120" w:after="120" w:line="288"/>
              <w:jc w:val="left"/>
            </w:pPr>
            <w:r>
              <w:rPr>
                <w:color w:val="#285AB6"/>
              </w:rPr>
              <w:t xml:space="preserve">Tango does not support same day porting</w:t>
            </w:r>
            <w:r>
              <w:rPr>
                <w:color w:val="#285AB6"/>
              </w:rPr>
              <w:t xml:space="preserve"> (this is UK industry process, not a Tango restriction)</w:t>
            </w:r>
            <w:r>
              <w:rPr>
                <w:color w:val="#285AB6"/>
              </w:rPr>
              <w:t xml:space="preserve">. </w:t>
            </w:r>
          </w:p>
        </w:tc>
      </w:tr>
    </w:tbl>
    <w:p>
      <w:pPr>
        <w:pStyle w:val="Heading3"/>
        <w:spacing w:before="120" w:after="120" w:line="288"/>
        <w:jc w:val="left"/>
      </w:pPr>
      <w:bookmarkStart w:name="_Toc21" w:id="21"/>
      <w:r>
        <w:rPr>
          <w:b w:val="true"/>
          <w:bCs w:val="true"/>
        </w:rPr>
        <w:t xml:space="preserve">Monitoring Port Requests</w:t>
      </w:r>
      <w:bookmarkEnd w:id="21"/>
    </w:p>
    <w:p>
      <w:pPr>
        <w:pStyle w:val="Heading4"/>
        <w:spacing w:before="120" w:after="120" w:line="288"/>
        <w:jc w:val="left"/>
      </w:pPr>
      <w:bookmarkStart w:name="_Toc22" w:id="22"/>
      <w:r>
        <w:rPr>
          <w:b w:val="true"/>
          <w:bCs w:val="true"/>
        </w:rPr>
        <w:t xml:space="preserve">View Active Port Requests</w:t>
      </w:r>
      <w:bookmarkEnd w:id="22"/>
    </w:p>
    <w:p>
      <w:pPr>
        <w:pStyle w:val="ListParagraph"/>
        <w:numPr>
          <w:ilvl w:val="0"/>
          <w:numId w:val="81"/>
        </w:numPr>
        <w:spacing w:before="120" w:after="120" w:line="288"/>
        <w:jc w:val="left"/>
      </w:pPr>
      <w:r>
        <w:t xml:space="preserve">Navigate to </w:t>
      </w:r>
      <w:r>
        <w:rPr>
          <w:b w:val="true"/>
          <w:bCs w:val="true"/>
        </w:rPr>
        <w:t xml:space="preserve">Numbers</w:t>
      </w:r>
      <w:r>
        <w:t xml:space="preserve"> → </w:t>
      </w:r>
      <w:r>
        <w:rPr>
          <w:b w:val="true"/>
          <w:bCs w:val="true"/>
        </w:rPr>
        <w:t xml:space="preserve">Porting</w:t>
      </w:r>
      <w:r>
        <w:t xml:space="preserve"> → </w:t>
      </w:r>
      <w:r>
        <w:rPr>
          <w:b w:val="true"/>
          <w:bCs w:val="true"/>
        </w:rPr>
        <w:t xml:space="preserve">Porting Status </w:t>
      </w:r>
    </w:p>
    <w:p>
      <w:pPr>
        <w:pStyle w:val="ListParagraph"/>
        <w:numPr>
          <w:ilvl w:val="0"/>
          <w:numId w:val="82"/>
        </w:numPr>
        <w:spacing w:before="120" w:after="120" w:line="288"/>
        <w:jc w:val="left"/>
      </w:pPr>
      <w:r>
        <w:t xml:space="preserve">Review the </w:t>
      </w:r>
      <w:r>
        <w:rPr>
          <w:b w:val="true"/>
          <w:bCs w:val="true"/>
        </w:rPr>
        <w:t xml:space="preserve">Status</w:t>
      </w:r>
      <w:r>
        <w:t xml:space="preserve"> column for updates such as “Validation Failed” or “In Progress.”</w:t>
      </w:r>
    </w:p>
    <w:p>
      <w:pPr>
        <w:pStyle w:val="ListParagraph"/>
        <w:numPr>
          <w:ilvl w:val="0"/>
          <w:numId w:val="83"/>
        </w:numPr>
        <w:spacing w:before="120" w:after="120" w:line="288"/>
        <w:jc w:val="left"/>
      </w:pPr>
      <w:r>
        <w:t xml:space="preserve">Export data using </w:t>
      </w:r>
      <w:r>
        <w:rPr>
          <w:b w:val="true"/>
          <w:bCs w:val="true"/>
        </w:rPr>
        <w:t xml:space="preserve">Export CSV</w:t>
      </w:r>
      <w:r>
        <w:t xml:space="preserve"> for reporting or tracking </w:t>
      </w:r>
    </w:p>
    <w:p>
      <w:r>
        <w:drawing>
          <wp:inline>
            <wp:extent cx="5942940" cy="1900469"/>
            <wp:effectExtent l="0" t="0" r="0" b="0"/>
            <wp:docPr id="0" name=""/>
            <wp:cNvGraphicFramePr>
              <a:graphicFrameLocks noChangeAspect="1"/>
            </wp:cNvGraphicFramePr>
            <a:graphic>
              <a:graphicData uri="http://schemas.openxmlformats.org/drawingml/2006/picture">
                <pic:pic>
                  <pic:nvPicPr>
                    <pic:cNvPr id="0" name=""/>
                    <pic:cNvPicPr/>
                  </pic:nvPicPr>
                  <pic:blipFill>
                    <a:blip r:embed="rId10"/>
                    <a:stretch/>
                  </pic:blipFill>
                  <pic:spPr>
                    <a:xfrm>
                      <a:off x="0" y="0"/>
                      <a:ext cx="5942940" cy="1900469"/>
                    </a:xfrm>
                    <a:prstGeom prst="rect"/>
                  </pic:spPr>
                </pic:pic>
              </a:graphicData>
            </a:graphic>
          </wp:inline>
        </w:drawing>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84"/>
              </w:numPr>
              <w:spacing w:before="120" w:after="120" w:line="288"/>
              <w:jc w:val="left"/>
            </w:pPr>
            <w:r>
              <w:rPr>
                <w:color w:val="#285AB6"/>
              </w:rPr>
              <w:t xml:space="preserve">Porting Process is from 8AM - 8PM</w:t>
            </w:r>
            <w:r>
              <w:rPr>
                <w:color w:val="#285AB6"/>
              </w:rPr>
              <w:t xml:space="preserve"> regardless of whether the UK is observing GMT or BST.</w:t>
            </w:r>
          </w:p>
          <w:p>
            <w:pPr>
              <w:pStyle w:val="ListParagraph"/>
              <w:numPr>
                <w:ilvl w:val="0"/>
                <w:numId w:val="85"/>
              </w:numPr>
              <w:spacing w:before="120" w:after="120" w:line="288"/>
              <w:jc w:val="left"/>
            </w:pPr>
            <w:r>
              <w:rPr>
                <w:color w:val="#285AB6"/>
              </w:rPr>
              <w:t xml:space="preserve">If the number has deactivated on the donor (operator) network but has yet activated,</w:t>
            </w:r>
          </w:p>
          <w:p>
            <w:pPr>
              <w:pStyle w:val="ListParagraph"/>
              <w:numPr>
                <w:ilvl w:val="0"/>
                <w:numId w:val="86"/>
              </w:numPr>
              <w:spacing w:before="120" w:after="120" w:line="288"/>
              <w:jc w:val="left"/>
            </w:pPr>
            <w:r>
              <w:rPr>
                <w:color w:val="#285AB6"/>
              </w:rPr>
              <w:t xml:space="preserve">Instruct the customer to restart their device (power off and on)</w:t>
            </w:r>
          </w:p>
          <w:p>
            <w:pPr>
              <w:pStyle w:val="ListParagraph"/>
              <w:numPr>
                <w:ilvl w:val="0"/>
                <w:numId w:val="87"/>
              </w:numPr>
              <w:spacing w:before="120" w:after="120" w:line="288"/>
              <w:jc w:val="left"/>
            </w:pPr>
            <w:r>
              <w:rPr>
                <w:color w:val="#285AB6"/>
              </w:rPr>
              <w:t xml:space="preserve">If the issue is not resolved </w:t>
            </w:r>
            <w:r>
              <w:rPr>
                <w:color w:val="#285AB6"/>
              </w:rPr>
              <w:t xml:space="preserve">after</w:t>
            </w:r>
            <w:r>
              <w:rPr>
                <w:color w:val="#285AB6"/>
              </w:rPr>
              <w:t xml:space="preserve"> 8:00PM, escalate immediately to Tango.</w:t>
            </w:r>
          </w:p>
          <w:p>
            <w:pPr>
              <w:pStyle w:val="ListParagraph"/>
              <w:numPr>
                <w:ilvl w:val="0"/>
                <w:numId w:val="88"/>
              </w:numPr>
              <w:spacing w:before="120" w:after="120" w:line="288"/>
              <w:jc w:val="left"/>
            </w:pPr>
            <w:r>
              <w:rPr>
                <w:color w:val="#285AB6"/>
              </w:rPr>
              <w:t xml:space="preserve">If a number port fails </w:t>
            </w:r>
            <w:r>
              <w:rPr>
                <w:color w:val="#285AB6"/>
              </w:rPr>
              <w:t xml:space="preserve">by</w:t>
            </w:r>
            <w:r>
              <w:rPr>
                <w:color w:val="#285AB6"/>
              </w:rPr>
              <w:t xml:space="preserve"> 8</w:t>
            </w:r>
            <w:r>
              <w:rPr>
                <w:color w:val="#285AB6"/>
              </w:rPr>
              <w:t xml:space="preserve">:00</w:t>
            </w:r>
            <w:r>
              <w:rPr>
                <w:color w:val="#285AB6"/>
              </w:rPr>
              <w:t xml:space="preserve">PM and Zoom escalates it to Tango, Tango engineers will investigate the issue and engage directly with their carrier and technology partners as needed.</w:t>
            </w:r>
            <w:r>
              <w:rPr>
                <w:color w:val="#285AB6"/>
              </w:rPr>
              <w:t xml:space="preserve"> This investigation may slip into the next day depending on losing carrier staffing.</w:t>
            </w:r>
          </w:p>
          <w:p>
            <w:pPr>
              <w:pStyle w:val="ListParagraph"/>
              <w:numPr>
                <w:ilvl w:val="0"/>
                <w:numId w:val="89"/>
              </w:numPr>
              <w:spacing w:before="120" w:after="120" w:line="288"/>
              <w:jc w:val="left"/>
            </w:pPr>
            <w:r>
              <w:rPr>
                <w:color w:val="#285AB6"/>
              </w:rPr>
              <w:t xml:space="preserve">Once we integrate with Tango's API, porting status updates will be available in real-time.</w:t>
            </w:r>
          </w:p>
        </w:tc>
      </w:tr>
    </w:tbl>
    <w:p>
      <w:pPr>
        <w:pStyle w:val="Heading3"/>
        <w:spacing w:before="120" w:after="120" w:line="288"/>
        <w:jc w:val="left"/>
      </w:pPr>
      <w:bookmarkStart w:name="_Toc23" w:id="23"/>
      <w:r>
        <w:rPr>
          <w:b w:val="true"/>
          <w:bCs w:val="true"/>
        </w:rPr>
        <w:t xml:space="preserve">Handling Rejections</w:t>
      </w:r>
      <w:bookmarkEnd w:id="23"/>
    </w:p>
    <w:p>
      <w:pPr>
        <w:spacing w:before="120" w:after="120" w:line="288"/>
        <w:jc w:val="left"/>
      </w:pPr>
      <w:r>
        <w:rPr>
          <w:b w:val="true"/>
          <w:bCs w:val="true"/>
        </w:rPr>
        <w:t xml:space="preserve">If the port request shows a validation failure in the Status column:</w:t>
      </w:r>
    </w:p>
    <w:p>
      <w:pPr>
        <w:spacing w:before="120" w:after="120" w:line="288"/>
        <w:jc w:val="left"/>
      </w:pPr>
      <w:r>
        <w:t xml:space="preserve">If a port request is rejected:</w:t>
      </w:r>
    </w:p>
    <w:p>
      <w:pPr>
        <w:pStyle w:val="ListParagraph"/>
        <w:numPr>
          <w:ilvl w:val="0"/>
          <w:numId w:val="90"/>
        </w:numPr>
        <w:spacing w:before="120" w:after="120" w:line="288"/>
        <w:jc w:val="left"/>
      </w:pPr>
      <w:r>
        <w:t xml:space="preserve">Check the rejection reason (e.g., incorrect PAC, expired PAC, number mismatch).</w:t>
      </w:r>
    </w:p>
    <w:p>
      <w:pPr>
        <w:pStyle w:val="ListParagraph"/>
        <w:numPr>
          <w:ilvl w:val="0"/>
          <w:numId w:val="91"/>
        </w:numPr>
        <w:spacing w:before="120" w:after="120" w:line="288"/>
        <w:jc w:val="left"/>
      </w:pPr>
      <w:r>
        <w:t xml:space="preserve">Correct the issue and </w:t>
      </w:r>
      <w:r>
        <w:rPr>
          <w:b w:val="true"/>
          <w:bCs w:val="true"/>
        </w:rPr>
        <w:t xml:space="preserve">resubmit immediately</w:t>
      </w:r>
      <w:r>
        <w:t xml:space="preserve">—no waiting period required.</w:t>
      </w:r>
    </w:p>
    <w:p>
      <w:pPr>
        <w:pStyle w:val="ListParagraph"/>
        <w:numPr>
          <w:ilvl w:val="0"/>
          <w:numId w:val="92"/>
        </w:numPr>
        <w:spacing w:before="120" w:after="120" w:line="288"/>
        <w:jc w:val="left"/>
      </w:pPr>
      <w:r>
        <w:t xml:space="preserve">Tango does not send direct notifications; Zoom must self-serve by checking the portal </w:t>
      </w:r>
      <w:hyperlink r:id="rId11">
        <w:r>
          <w:rPr>
            <w:rStyle w:val="Hyperlink"/>
          </w:rPr>
          <w:t xml:space="preserve">[2]</w:t>
        </w:r>
      </w:hyperlink>
      <w:r>
        <w:t xml:space="preserve">.</w:t>
      </w:r>
    </w:p>
    <w:p>
      <w:pPr>
        <w:pStyle w:val="ListParagraph"/>
        <w:numPr>
          <w:ilvl w:val="0"/>
          <w:numId w:val="93"/>
        </w:numPr>
        <w:spacing w:before="120" w:after="120" w:line="288"/>
        <w:jc w:val="left"/>
      </w:pPr>
      <w:r>
        <w:t xml:space="preserve">There is no restriction on the number of port-in orders that can be submitted in a single day.</w:t>
      </w:r>
    </w:p>
    <w:p>
      <w:pPr>
        <w:pStyle w:val="Heading3"/>
        <w:spacing w:before="120" w:after="120" w:line="288"/>
        <w:jc w:val="left"/>
      </w:pPr>
      <w:bookmarkStart w:name="_Toc24" w:id="24"/>
      <w:r>
        <w:rPr>
          <w:b w:val="true"/>
          <w:bCs w:val="true"/>
        </w:rPr>
        <w:t xml:space="preserve">Bulk PAC Codes  (Multiple Numbers with One PAC Code)</w:t>
      </w:r>
      <w:bookmarkEnd w:id="24"/>
    </w:p>
    <w:p>
      <w:pPr>
        <w:pStyle w:val="ListParagraph"/>
        <w:numPr>
          <w:ilvl w:val="0"/>
          <w:numId w:val="94"/>
        </w:numPr>
        <w:spacing w:before="120" w:after="120" w:line="288"/>
        <w:jc w:val="left"/>
      </w:pPr>
      <w:r>
        <w:t xml:space="preserve">The customer's carrier may issue a </w:t>
      </w:r>
      <w:r>
        <w:rPr>
          <w:b w:val="true"/>
          <w:bCs w:val="true"/>
        </w:rPr>
        <w:t xml:space="preserve">single PAC code</w:t>
      </w:r>
      <w:r>
        <w:t xml:space="preserve"> for multiple numbers (as a general rule, mobile network operators (MNOs) will issue a single bulk PAC code when porting 20 or more numbers).</w:t>
      </w:r>
    </w:p>
    <w:p>
      <w:pPr>
        <w:pStyle w:val="ListParagraph"/>
        <w:numPr>
          <w:ilvl w:val="0"/>
          <w:numId w:val="95"/>
        </w:numPr>
        <w:spacing w:before="120" w:after="120" w:line="288"/>
        <w:jc w:val="left"/>
      </w:pPr>
      <w:r>
        <w:t xml:space="preserve">When a bulk PAC code is issued, include the same PAC code for the batch upload, Tango will accept that same PAC code for all numbers in the submission. </w:t>
      </w:r>
    </w:p>
    <w:p>
      <w:pPr>
        <w:pStyle w:val="ListParagraph"/>
        <w:numPr>
          <w:ilvl w:val="0"/>
          <w:numId w:val="96"/>
        </w:numPr>
        <w:spacing w:before="120" w:after="120" w:line="288"/>
        <w:jc w:val="left"/>
      </w:pPr>
      <w:r>
        <w:rPr/>
        <w:t xml:space="preserve">Ports can be phased (e.g., 25 numbers one week, 25 the next) </w:t>
      </w:r>
    </w:p>
    <w:p>
      <w:pPr>
        <w:pStyle w:val="ListParagraph"/>
        <w:numPr>
          <w:ilvl w:val="0"/>
          <w:numId w:val="97"/>
        </w:numPr>
        <w:spacing w:before="120" w:after="120" w:line="288"/>
        <w:jc w:val="left"/>
      </w:pPr>
      <w:r>
        <w:t xml:space="preserve">The PAC code remains valid for its entire validity period (</w:t>
      </w:r>
      <w:r>
        <w:rPr>
          <w:strike w:val="true"/>
        </w:rPr>
        <w:t xml:space="preserve">typically </w:t>
      </w:r>
      <w:r>
        <w:t xml:space="preserve">30 days), giving you flexibility to phase the porting process according to your needs.</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98"/>
              </w:numPr>
              <w:spacing w:before="120" w:after="120" w:line="288"/>
              <w:jc w:val="left"/>
            </w:pPr>
            <w:r>
              <w:rPr>
                <w:color w:val="#285AB6"/>
              </w:rPr>
              <w:t xml:space="preserve">For example, if you have 50 numbers to port, you can submit them in phases using the same PAC code. You might port 25 numbers in the first submission, then port the remaining 25 numbers in a separate submission at a later date. </w:t>
            </w:r>
          </w:p>
        </w:tc>
      </w:tr>
    </w:tbl>
    <w:p>
      <w:pPr>
        <w:pStyle w:val="Heading3"/>
        <w:spacing w:before="120" w:after="120" w:line="288"/>
        <w:jc w:val="left"/>
      </w:pPr>
      <w:bookmarkStart w:name="_Toc25" w:id="25"/>
      <w:r>
        <w:rPr>
          <w:b w:val="true"/>
          <w:bCs w:val="true"/>
        </w:rPr>
        <w:t xml:space="preserve">Bulk Submission via CSV (Manual Process)</w:t>
      </w:r>
      <w:bookmarkEnd w:id="25"/>
    </w:p>
    <w:p>
      <w:pPr>
        <w:spacing w:before="120" w:after="120" w:line="288"/>
        <w:jc w:val="left"/>
      </w:pPr>
      <w:r>
        <w:rPr>
          <w:b w:val="true"/>
          <w:bCs w:val="true"/>
        </w:rPr>
        <w:t xml:space="preserve">If you need to submit a large volume of port requests (e.g., 100+ ports):</w:t>
      </w:r>
    </w:p>
    <w:p>
      <w:pPr>
        <w:pStyle w:val="ListParagraph"/>
        <w:numPr>
          <w:ilvl w:val="0"/>
          <w:numId w:val="99"/>
        </w:numPr>
        <w:spacing w:before="120" w:after="120" w:line="288"/>
        <w:jc w:val="left"/>
      </w:pPr>
      <w:r>
        <w:t xml:space="preserve">Prepare a spreadsheet with:</w:t>
      </w:r>
    </w:p>
    <w:p>
      <w:pPr>
        <w:pStyle w:val="ListParagraph"/>
        <w:numPr>
          <w:ilvl w:val="0"/>
          <w:numId w:val="100"/>
        </w:numPr>
        <w:spacing w:before="120" w:after="120" w:line="288"/>
        <w:jc w:val="left"/>
      </w:pPr>
      <w:r>
        <w:t xml:space="preserve">Port-In Number</w:t>
      </w:r>
    </w:p>
    <w:p>
      <w:pPr>
        <w:pStyle w:val="ListParagraph"/>
        <w:numPr>
          <w:ilvl w:val="0"/>
          <w:numId w:val="101"/>
        </w:numPr>
        <w:spacing w:before="120" w:after="120" w:line="288"/>
        <w:jc w:val="left"/>
      </w:pPr>
      <w:r>
        <w:t xml:space="preserve">PAC Code</w:t>
      </w:r>
    </w:p>
    <w:p>
      <w:pPr>
        <w:pStyle w:val="ListParagraph"/>
        <w:numPr>
          <w:ilvl w:val="0"/>
          <w:numId w:val="102"/>
        </w:numPr>
        <w:spacing w:before="120" w:after="120" w:line="288"/>
        <w:jc w:val="left"/>
      </w:pPr>
      <w:r>
        <w:t xml:space="preserve">Requested Port Date</w:t>
      </w:r>
    </w:p>
    <w:p>
      <w:pPr>
        <w:pStyle w:val="ListParagraph"/>
        <w:numPr>
          <w:ilvl w:val="0"/>
          <w:numId w:val="103"/>
        </w:numPr>
        <w:spacing w:before="120" w:after="120" w:line="288"/>
        <w:jc w:val="left"/>
      </w:pPr>
      <w:r>
        <w:t xml:space="preserve">Number To Replace </w:t>
      </w:r>
    </w:p>
    <w:p>
      <w:pPr>
        <w:pStyle w:val="ListParagraph"/>
        <w:numPr>
          <w:ilvl w:val="0"/>
          <w:numId w:val="104"/>
        </w:numPr>
        <w:spacing w:before="120" w:after="120" w:line="288"/>
        <w:jc w:val="left"/>
      </w:pPr>
      <w:r>
        <w:t xml:space="preserve">Send to Tango support for manual upload. </w:t>
      </w:r>
    </w:p>
    <w:p>
      <w:pPr>
        <w:pStyle w:val="ListParagraph"/>
        <w:numPr>
          <w:ilvl w:val="0"/>
          <w:numId w:val="105"/>
        </w:numPr>
        <w:spacing w:before="120" w:after="120" w:line="288"/>
        <w:jc w:val="left"/>
      </w:pPr>
      <w:r>
        <w:t xml:space="preserve">Because the portal is built on an API, they are going to just batch load it into their API. </w:t>
      </w:r>
    </w:p>
    <w:p>
      <w:pPr>
        <w:pStyle w:val="ListParagraph"/>
        <w:numPr>
          <w:ilvl w:val="0"/>
          <w:numId w:val="106"/>
        </w:numPr>
        <w:spacing w:before="120" w:after="120" w:line="288"/>
        <w:jc w:val="left"/>
      </w:pPr>
      <w:r>
        <w:t xml:space="preserve">Monitor progress in the </w:t>
      </w:r>
      <w:r>
        <w:rPr>
          <w:b w:val="true"/>
          <w:bCs w:val="true"/>
        </w:rPr>
        <w:t xml:space="preserve">Porting Dashboard</w:t>
      </w:r>
      <w:r>
        <w:t xml:space="preserve"> </w:t>
      </w:r>
    </w:p>
    <w:p>
      <w:r>
        <w:drawing>
          <wp:inline>
            <wp:extent cx="4184151" cy="2722509"/>
            <wp:effectExtent l="0" t="0" r="0" b="0"/>
            <wp:docPr id="0" name=""/>
            <wp:cNvGraphicFramePr>
              <a:graphicFrameLocks noChangeAspect="1"/>
            </wp:cNvGraphicFramePr>
            <a:graphic>
              <a:graphicData uri="http://schemas.openxmlformats.org/drawingml/2006/picture">
                <pic:pic>
                  <pic:nvPicPr>
                    <pic:cNvPr id="0" name=""/>
                    <pic:cNvPicPr/>
                  </pic:nvPicPr>
                  <pic:blipFill>
                    <a:blip r:embed="rId12"/>
                    <a:stretch/>
                  </pic:blipFill>
                  <pic:spPr>
                    <a:xfrm>
                      <a:off x="0" y="0"/>
                      <a:ext cx="4184151" cy="2722509"/>
                    </a:xfrm>
                    <a:prstGeom prst="rect"/>
                  </pic:spPr>
                </pic:pic>
              </a:graphicData>
            </a:graphic>
          </wp:inline>
        </w:drawing>
      </w:r>
    </w:p>
    <w:p>
      <w:pPr>
        <w:pStyle w:val="Heading3"/>
        <w:spacing w:before="120" w:after="120" w:line="288"/>
        <w:jc w:val="left"/>
      </w:pPr>
      <w:bookmarkStart w:name="_Toc26" w:id="26"/>
      <w:r>
        <w:rPr>
          <w:b w:val="true"/>
          <w:bCs w:val="true"/>
        </w:rPr>
        <w:t xml:space="preserve">Port Completion</w:t>
      </w:r>
      <w:bookmarkEnd w:id="26"/>
    </w:p>
    <w:p>
      <w:pPr>
        <w:pStyle w:val="ListParagraph"/>
        <w:numPr>
          <w:ilvl w:val="0"/>
          <w:numId w:val="107"/>
        </w:numPr>
        <w:spacing w:before="120" w:after="120" w:line="288"/>
        <w:jc w:val="left"/>
      </w:pPr>
      <w:r>
        <w:t xml:space="preserve">The </w:t>
      </w:r>
      <w:r>
        <w:rPr>
          <w:b w:val="true"/>
          <w:bCs w:val="true"/>
        </w:rPr>
        <w:t xml:space="preserve">Ported-In Number </w:t>
      </w:r>
      <w:r>
        <w:t xml:space="preserve">replaces</w:t>
      </w:r>
      <w:r>
        <w:rPr>
          <w:b w:val="true"/>
          <w:bCs w:val="true"/>
        </w:rPr>
        <w:t xml:space="preserve"> the temporary number </w:t>
      </w:r>
      <w:r>
        <w:t xml:space="preserve">(Number To Replace) automatically.</w:t>
      </w:r>
    </w:p>
    <w:p>
      <w:pPr>
        <w:pStyle w:val="ListParagraph"/>
        <w:numPr>
          <w:ilvl w:val="0"/>
          <w:numId w:val="108"/>
        </w:numPr>
        <w:spacing w:before="120" w:after="120" w:line="288"/>
        <w:jc w:val="left"/>
      </w:pPr>
      <w:r>
        <w:t xml:space="preserve">The </w:t>
      </w:r>
      <w:r>
        <w:rPr>
          <w:b w:val="true"/>
          <w:bCs w:val="true"/>
        </w:rPr>
        <w:t xml:space="preserve">SIM card remains unchanged. </w:t>
      </w:r>
      <w:r>
        <w:t xml:space="preserve">The SIM card remains unchanged throughout the porting process—only the phone number associated with it is updated.</w:t>
      </w:r>
    </w:p>
    <w:p>
      <w:pPr>
        <w:pStyle w:val="ListParagraph"/>
        <w:numPr>
          <w:ilvl w:val="0"/>
          <w:numId w:val="109"/>
        </w:numPr>
        <w:spacing w:before="120" w:after="120" w:line="288"/>
        <w:jc w:val="left"/>
      </w:pPr>
      <w:r>
        <w:rPr/>
        <w:t xml:space="preserve">The </w:t>
      </w:r>
      <w:r>
        <w:rPr>
          <w:b w:val="true"/>
          <w:bCs w:val="true"/>
        </w:rPr>
        <w:t xml:space="preserve">temporary number is </w:t>
      </w:r>
      <w:r>
        <w:rPr>
          <w:b w:val="true"/>
          <w:bCs w:val="true"/>
        </w:rPr>
        <w:t xml:space="preserve"> taken out of the system on Tango side and can't be reused by Zoom</w:t>
      </w:r>
    </w:p>
    <w:p>
      <w:pPr>
        <w:pStyle w:val="ListParagraph"/>
        <w:numPr>
          <w:ilvl w:val="0"/>
          <w:numId w:val="110"/>
        </w:numPr>
        <w:spacing w:before="120" w:after="120" w:line="288"/>
        <w:jc w:val="left"/>
      </w:pPr>
      <w:r>
        <w:rPr>
          <w:color w:val="222124"/>
        </w:rPr>
        <w:t xml:space="preserve">The temporary number is replaced during the porting process and is removed from the Tango Control Panel and will no longer be accessible for use by Zoom.</w:t>
      </w:r>
    </w:p>
    <w:p>
      <w:pPr>
        <w:pStyle w:val="ListParagraph"/>
        <w:numPr>
          <w:ilvl w:val="0"/>
          <w:numId w:val="111"/>
        </w:numPr>
        <w:spacing w:before="120" w:after="120" w:line="288"/>
        <w:jc w:val="left"/>
      </w:pPr>
      <w:r>
        <w:t xml:space="preserve">Zoom will need to</w:t>
      </w:r>
      <w:r>
        <w:t xml:space="preserve"> remove the temp </w:t>
      </w:r>
      <w:r>
        <w:t xml:space="preserve">number</w:t>
      </w:r>
      <w:r>
        <w:t xml:space="preserve"> from Zoom pool in advance imemdiately after the "Swap" function and before submitting the port.</w:t>
      </w:r>
      <w:r>
        <w:t xml:space="preserve"> </w:t>
      </w:r>
    </w:p>
    <w:p>
      <w:pPr>
        <w:pStyle w:val="ListParagraph"/>
        <w:numPr>
          <w:ilvl w:val="0"/>
          <w:numId w:val="112"/>
        </w:numPr>
        <w:spacing w:before="120" w:after="120" w:line="288"/>
        <w:jc w:val="left"/>
      </w:pPr>
      <w:r>
        <w:t xml:space="preserve">No manual intervention is required for successful ports </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pStyle w:val="ListParagraph"/>
              <w:numPr>
                <w:ilvl w:val="0"/>
                <w:numId w:val="113"/>
              </w:numPr>
              <w:spacing w:before="120" w:after="120" w:line="288"/>
              <w:jc w:val="left"/>
            </w:pPr>
            <w:r>
              <w:rPr>
                <w:color w:val="#285AB6"/>
              </w:rPr>
              <w:t xml:space="preserve">Porting Process is from 8AM - 8PM.</w:t>
            </w:r>
          </w:p>
          <w:p>
            <w:pPr>
              <w:pStyle w:val="ListParagraph"/>
              <w:numPr>
                <w:ilvl w:val="0"/>
                <w:numId w:val="114"/>
              </w:numPr>
              <w:spacing w:before="120" w:after="120" w:line="288"/>
              <w:jc w:val="left"/>
            </w:pPr>
            <w:r>
              <w:rPr>
                <w:color w:val="#285AB6"/>
              </w:rPr>
              <w:t xml:space="preserve">Customers should be advised to power off their device after 8 PM on the scheduled port date to complete the activation process. </w:t>
            </w:r>
          </w:p>
        </w:tc>
      </w:tr>
    </w:tbl>
    <w:p>
      <w:pPr>
        <w:pStyle w:val="Heading3"/>
        <w:spacing w:before="120" w:after="120" w:line="288"/>
        <w:jc w:val="left"/>
      </w:pPr>
      <w:bookmarkStart w:name="_Toc27" w:id="27"/>
      <w:r>
        <w:rPr>
          <w:b w:val="true"/>
          <w:bCs w:val="true"/>
        </w:rPr>
        <w:t xml:space="preserve">Port-Out Requests</w:t>
      </w:r>
      <w:bookmarkEnd w:id="27"/>
    </w:p>
    <w:p>
      <w:pPr>
        <w:spacing w:before="120" w:after="120" w:line="288"/>
        <w:jc w:val="left"/>
      </w:pPr>
      <w:r>
        <w:t xml:space="preserve">If a customer requests to port out:</w:t>
      </w:r>
    </w:p>
    <w:p>
      <w:pPr>
        <w:pStyle w:val="ListParagraph"/>
        <w:numPr>
          <w:ilvl w:val="0"/>
          <w:numId w:val="115"/>
        </w:numPr>
        <w:spacing w:before="120" w:after="120" w:line="288"/>
        <w:jc w:val="left"/>
      </w:pPr>
      <w:r>
        <w:t xml:space="preserve">Navigate to </w:t>
      </w:r>
      <w:r>
        <w:rPr>
          <w:b w:val="true"/>
          <w:bCs w:val="true"/>
        </w:rPr>
        <w:t xml:space="preserve">Reseller → Subscribers</w:t>
      </w:r>
      <w:r>
        <w:t xml:space="preserve">, select the relevant subscriber, then go to </w:t>
      </w:r>
      <w:r>
        <w:rPr>
          <w:b w:val="true"/>
          <w:bCs w:val="true"/>
        </w:rPr>
        <w:t xml:space="preserve">Numbers → Port Out Request</w:t>
      </w:r>
      <w:r>
        <w:t xml:space="preserve">.</w:t>
      </w:r>
    </w:p>
    <w:p>
      <w:pPr>
        <w:pStyle w:val="ListParagraph"/>
        <w:numPr>
          <w:ilvl w:val="0"/>
          <w:numId w:val="116"/>
        </w:numPr>
        <w:spacing w:before="120" w:after="120" w:line="288"/>
        <w:jc w:val="left"/>
      </w:pPr>
      <w:r>
        <w:t xml:space="preserve">Select the number to port out.</w:t>
      </w:r>
    </w:p>
    <w:p>
      <w:pPr>
        <w:pStyle w:val="ListParagraph"/>
        <w:numPr>
          <w:ilvl w:val="0"/>
          <w:numId w:val="117"/>
        </w:numPr>
        <w:spacing w:before="120" w:after="120" w:line="288"/>
        <w:jc w:val="left"/>
      </w:pPr>
      <w:r>
        <w:t xml:space="preserve">Click </w:t>
      </w:r>
      <w:r>
        <w:rPr>
          <w:b w:val="true"/>
          <w:bCs w:val="true"/>
        </w:rPr>
        <w:t xml:space="preserve">Request PAC Code</w:t>
      </w:r>
      <w:r>
        <w:t xml:space="preserve">.</w:t>
      </w:r>
    </w:p>
    <w:p>
      <w:pPr>
        <w:pStyle w:val="ListParagraph"/>
        <w:numPr>
          <w:ilvl w:val="0"/>
          <w:numId w:val="118"/>
        </w:numPr>
        <w:spacing w:before="120" w:after="120" w:line="288"/>
        <w:jc w:val="left"/>
      </w:pPr>
      <w:r>
        <w:t xml:space="preserve">An SMS message will be sent to the end users mobile containing the PAC code and expiry date.</w:t>
      </w:r>
    </w:p>
    <w:p>
      <w:pPr>
        <w:pStyle w:val="ListParagraph"/>
        <w:numPr>
          <w:ilvl w:val="0"/>
          <w:numId w:val="119"/>
        </w:numPr>
        <w:spacing w:before="120" w:after="120" w:line="288"/>
        <w:jc w:val="left"/>
      </w:pPr>
      <w:r>
        <w:t xml:space="preserve">The PAC code and expiry date (30 days) will appear on the screen</w:t>
      </w:r>
      <w:r>
        <w:t xml:space="preserve"> after a minute or two</w:t>
      </w:r>
      <w:r>
        <w:t xml:space="preserve">.</w:t>
      </w:r>
    </w:p>
    <w:p>
      <w:pPr>
        <w:pStyle w:val="ListParagraph"/>
        <w:numPr>
          <w:ilvl w:val="0"/>
          <w:numId w:val="120"/>
        </w:numPr>
        <w:spacing w:before="120" w:after="120" w:line="288"/>
        <w:jc w:val="left"/>
      </w:pPr>
      <w:r>
        <w:t xml:space="preserve">Provide the PAC code to the customer.</w:t>
      </w:r>
    </w:p>
    <w:p>
      <w:pPr>
        <w:spacing w:before="120" w:after="120" w:line="288"/>
        <w:jc w:val="left"/>
      </w:pPr>
      <w:r>
        <w:t xml:space="preserve">After the port-out completes:</w:t>
      </w:r>
    </w:p>
    <w:p>
      <w:pPr>
        <w:pStyle w:val="ListParagraph"/>
        <w:numPr>
          <w:ilvl w:val="0"/>
          <w:numId w:val="121"/>
        </w:numPr>
        <w:spacing w:before="120" w:after="120" w:line="288"/>
        <w:jc w:val="left"/>
      </w:pPr>
      <w:r>
        <w:t xml:space="preserve">A </w:t>
      </w:r>
      <w:r>
        <w:rPr>
          <w:b w:val="true"/>
          <w:bCs w:val="true"/>
        </w:rPr>
        <w:t xml:space="preserve">temporary number</w:t>
      </w:r>
      <w:r>
        <w:t xml:space="preserve"> is automatically assigned to the SIM.</w:t>
      </w:r>
    </w:p>
    <w:p>
      <w:pPr>
        <w:pStyle w:val="ListParagraph"/>
        <w:numPr>
          <w:ilvl w:val="0"/>
          <w:numId w:val="122"/>
        </w:numPr>
        <w:spacing w:before="120" w:after="120" w:line="288"/>
        <w:jc w:val="left"/>
      </w:pPr>
      <w:r>
        <w:t xml:space="preserve">Completing a port-out request does release the number to the new provider but does not automatically terminate the subscription.</w:t>
      </w:r>
    </w:p>
    <w:p>
      <w:pPr>
        <w:pStyle w:val="ListParagraph"/>
        <w:numPr>
          <w:ilvl w:val="0"/>
          <w:numId w:val="123"/>
        </w:numPr>
        <w:spacing w:before="120" w:after="120" w:line="288"/>
        <w:jc w:val="left"/>
      </w:pPr>
      <w:r>
        <w:t xml:space="preserve">If the customer does not want the temporary number, manually </w:t>
      </w:r>
      <w:r>
        <w:rPr>
          <w:b w:val="true"/>
          <w:bCs w:val="true"/>
        </w:rPr>
        <w:t xml:space="preserve">terminate the subscription</w:t>
      </w:r>
      <w:r>
        <w:t xml:space="preserve">:</w:t>
      </w:r>
    </w:p>
    <w:p>
      <w:pPr>
        <w:pStyle w:val="ListParagraph"/>
        <w:numPr>
          <w:ilvl w:val="0"/>
          <w:numId w:val="124"/>
        </w:numPr>
        <w:spacing w:before="120" w:after="120" w:line="288"/>
        <w:jc w:val="left"/>
      </w:pPr>
      <w:r>
        <w:t xml:space="preserve">Open subscriber record → three-dot menu → </w:t>
      </w:r>
      <w:r>
        <w:rPr>
          <w:b w:val="true"/>
          <w:bCs w:val="true"/>
        </w:rPr>
        <w:t xml:space="preserve">Terminate</w:t>
      </w:r>
      <w:r>
        <w:t xml:space="preserve"> </w:t>
      </w:r>
    </w:p>
    <w:tbl>
      <w:tblPr>
        <w:tblW w:w="0" w:type="auto"/>
        <w:tblInd w:w="0" w:type="dxa"/>
        <w:tblBorders>
          <w:top w:val="single" w:color="DEE8FB" w:sz="4" w:space="0"/>
          <w:start w:val="single" w:color="DEE8FB" w:sz="4" w:space="0"/>
          <w:bottom w:val="single" w:color="DEE8FB" w:sz="4" w:space="0"/>
          <w:end w:val="single" w:color="DEE8FB" w:sz="4" w:space="0"/>
        </w:tblBorders>
        <w:tblLayout w:type="fixed"/>
      </w:tblPr>
      <w:tblGrid>
        <w:gridCol w:w="9360"/>
      </w:tblGrid>
      <w:tr>
        <w:tc>
          <w:tcPr>
            <w:tcW w:w="9360" w:type="dxa"/>
            <w:shd w:val="clear" w:color="000000" w:fill="#EFF4FD"/>
            <w:tcMar/>
          </w:tcPr>
          <w:p>
            <w:pPr>
              <w:spacing w:before="120" w:after="120" w:line="288"/>
              <w:jc w:val="left"/>
            </w:pPr>
            <w:r>
              <w:rPr>
                <w:color w:val="#285AB6"/>
              </w:rPr>
              <w:t xml:space="preserve">With API integration, this process will be fully automated. When a customer deletes their number from their Zoom account, the system will automatically send a termination request to Tango's network, removing the subscription on their end as well. </w:t>
            </w:r>
          </w:p>
        </w:tc>
      </w:tr>
    </w:tbl>
    <w:p>
      <w:r>
        <w:drawing>
          <wp:inline>
            <wp:extent cx="5942940" cy="2259353"/>
            <wp:effectExtent l="0" t="0" r="0" b="0"/>
            <wp:docPr id="0" name=""/>
            <wp:cNvGraphicFramePr>
              <a:graphicFrameLocks noChangeAspect="1"/>
            </wp:cNvGraphicFramePr>
            <a:graphic>
              <a:graphicData uri="http://schemas.openxmlformats.org/drawingml/2006/picture">
                <pic:pic>
                  <pic:nvPicPr>
                    <pic:cNvPr id="0" name=""/>
                    <pic:cNvPicPr/>
                  </pic:nvPicPr>
                  <pic:blipFill>
                    <a:blip r:embed="rId13"/>
                    <a:stretch/>
                  </pic:blipFill>
                  <pic:spPr>
                    <a:xfrm>
                      <a:off x="0" y="0"/>
                      <a:ext cx="5942940" cy="2259353"/>
                    </a:xfrm>
                    <a:prstGeom prst="rect"/>
                  </pic:spPr>
                </pic:pic>
              </a:graphicData>
            </a:graphic>
          </wp:inline>
        </w:drawing>
      </w:r>
    </w:p>
    <w:p>
      <w:r>
        <w:drawing>
          <wp:inline>
            <wp:extent cx="4160058" cy="2642199"/>
            <wp:effectExtent l="0" t="0" r="0" b="0"/>
            <wp:docPr id="0" name=""/>
            <wp:cNvGraphicFramePr>
              <a:graphicFrameLocks noChangeAspect="1"/>
            </wp:cNvGraphicFramePr>
            <a:graphic>
              <a:graphicData uri="http://schemas.openxmlformats.org/drawingml/2006/picture">
                <pic:pic>
                  <pic:nvPicPr>
                    <pic:cNvPr id="0" name=""/>
                    <pic:cNvPicPr/>
                  </pic:nvPicPr>
                  <pic:blipFill>
                    <a:blip r:embed="rId14"/>
                    <a:stretch/>
                  </pic:blipFill>
                  <pic:spPr>
                    <a:xfrm>
                      <a:off x="0" y="0"/>
                      <a:ext cx="4160058" cy="2642199"/>
                    </a:xfrm>
                    <a:prstGeom prst="rect"/>
                  </pic:spPr>
                </pic:pic>
              </a:graphicData>
            </a:graphic>
          </wp:inline>
        </w:drawing>
      </w:r>
    </w:p>
    <w:p>
      <w:pPr>
        <w:spacing w:before="120" w:after="120" w:line="288"/>
        <w:jc w:val="left"/>
      </w:pPr>
    </w:p>
    <w:p>
      <w:pPr>
        <w:spacing w:before="120" w:after="120" w:line="288"/>
        <w:jc w:val="left"/>
      </w:pPr>
    </w:p>
    <w:p>
      <w:pPr>
        <w:pStyle w:val="Heading3"/>
        <w:spacing w:before="120" w:after="120" w:line="288"/>
        <w:jc w:val="left"/>
      </w:pPr>
      <w:bookmarkStart w:name="_Toc28" w:id="28"/>
      <w:r>
        <w:rPr>
          <w:b w:val="true"/>
          <w:bCs w:val="true"/>
        </w:rPr>
        <w:t xml:space="preserve">Tango Portal - Troubleshooting and Common Issues</w:t>
      </w:r>
      <w:bookmarkEnd w:id="28"/>
    </w:p>
    <w:tbl>
      <w:tblPr>
        <w:tblStyle w:val="TableGrid"/>
        <w:tblW w:w="0" w:type="auto"/>
        <w:tblBorders>
          <w:top w:val="single" w:color="000000" w:sz="4" w:space="0"/>
          <w:start w:val="single" w:color="000000" w:sz="4" w:space="0"/>
          <w:bottom w:val="single" w:color="000000" w:sz="4" w:space="0"/>
          <w:end w:val="single" w:color="000000" w:sz="4" w:space="0"/>
        </w:tblBorders>
        <w:tblLayout w:type="fixed"/>
        <w:tblLook w:firstRow="1" w:lastRow="0" w:firstColumn="1" w:lastColumn="0" w:noHBand="1" w:noVBand="1" w:val=""/>
      </w:tblPr>
      <w:tblGrid>
        <w:gridCol w:w="3120"/>
        <w:gridCol w:w="3120"/>
        <w:gridCol w:w="3120"/>
      </w:tblGrid>
      <w:tr>
        <w:tblPrEx>
          <w:tblBorders>
            <w:insideH w:val="single" w:color="000000" w:sz="4" w:space="0"/>
            <w:insideV w:val="single" w:color="000000" w:sz="4" w:space="0"/>
          </w:tblBorders>
        </w:tblPrEx>
        <w:trPr>
          <w:trHeight w:val="300" w:hRule=""/>
        </w:trPr>
        <w:tc>
          <w:tcPr>
            <w:tcW w:w="3120" w:type="dxa"/>
            <w:vMerge w:val="restart"/>
            <w:tcMar/>
          </w:tcPr>
          <w:p>
            <w:pPr>
              <w:spacing w:before="120" w:after="120" w:line="288"/>
              <w:jc w:val="left"/>
            </w:pPr>
            <w:r>
              <w:rPr>
                <w:b w:val="true"/>
                <w:bCs w:val="true"/>
              </w:rPr>
              <w:t xml:space="preserve">Issue</w:t>
            </w:r>
          </w:p>
        </w:tc>
        <w:tc>
          <w:tcPr>
            <w:tcW w:w="3120" w:type="dxa"/>
            <w:vMerge w:val="restart"/>
            <w:tcMar/>
          </w:tcPr>
          <w:p>
            <w:pPr>
              <w:spacing w:before="120" w:after="120" w:line="288"/>
              <w:jc w:val="left"/>
            </w:pPr>
            <w:r>
              <w:rPr>
                <w:b w:val="true"/>
                <w:bCs w:val="true"/>
              </w:rPr>
              <w:t xml:space="preserve">Possible Cause</w:t>
            </w:r>
          </w:p>
        </w:tc>
        <w:tc>
          <w:tcPr>
            <w:tcW w:w="3120" w:type="dxa"/>
            <w:vMerge w:val="restart"/>
            <w:tcMar/>
          </w:tcPr>
          <w:p>
            <w:pPr>
              <w:spacing w:before="120" w:after="120" w:line="288"/>
              <w:jc w:val="left"/>
            </w:pPr>
            <w:r>
              <w:rPr>
                <w:b w:val="true"/>
                <w:bCs w:val="true"/>
              </w:rPr>
              <w:t xml:space="preserve">Resolution</w:t>
            </w:r>
          </w:p>
        </w:tc>
      </w:tr>
      <w:tr>
        <w:tblPrEx>
          <w:tblBorders>
            <w:insideH w:val="single" w:color="000000" w:sz="4" w:space="0"/>
            <w:insideV w:val="single" w:color="000000" w:sz="4" w:space="0"/>
          </w:tblBorders>
        </w:tblPrEx>
        <w:trPr>
          <w:trHeight w:val="300" w:hRule=""/>
        </w:trPr>
        <w:tc>
          <w:tcPr>
            <w:tcW w:w="3120" w:type="dxa"/>
            <w:vMerge w:val="restart"/>
            <w:tcMar/>
          </w:tcPr>
          <w:p>
            <w:pPr>
              <w:spacing w:before="120" w:after="120" w:line="288"/>
              <w:jc w:val="left"/>
            </w:pPr>
            <w:r>
              <w:t xml:space="preserve">Port did not complete on time</w:t>
            </w:r>
          </w:p>
        </w:tc>
        <w:tc>
          <w:tcPr>
            <w:tcW w:w="3120" w:type="dxa"/>
            <w:vMerge w:val="restart"/>
            <w:tcMar/>
          </w:tcPr>
          <w:p>
            <w:pPr>
              <w:spacing w:before="120" w:after="120" w:line="288"/>
              <w:jc w:val="left"/>
            </w:pPr>
            <w:r>
              <w:t xml:space="preserve">Submitted after 4:30 PM, validation failure, or donor delay</w:t>
            </w:r>
          </w:p>
        </w:tc>
        <w:tc>
          <w:tcPr>
            <w:tcW w:w="3120" w:type="dxa"/>
            <w:vMerge w:val="restart"/>
            <w:tcMar/>
          </w:tcPr>
          <w:p>
            <w:pPr>
              <w:spacing w:before="120" w:after="120" w:line="288"/>
              <w:jc w:val="left"/>
            </w:pPr>
            <w:r>
              <w:t xml:space="preserve">Check Porting Dashboard; resubmit </w:t>
            </w:r>
          </w:p>
        </w:tc>
      </w:tr>
      <w:tr>
        <w:tblPrEx>
          <w:tblBorders>
            <w:insideH w:val="single" w:color="000000" w:sz="4" w:space="0"/>
            <w:insideV w:val="single" w:color="000000" w:sz="4" w:space="0"/>
          </w:tblBorders>
        </w:tblPrEx>
        <w:trPr>
          <w:trHeight w:val="300" w:hRule=""/>
        </w:trPr>
        <w:tc>
          <w:tcPr>
            <w:tcW w:w="3120" w:type="dxa"/>
            <w:vMerge w:val="restart"/>
            <w:tcMar/>
          </w:tcPr>
          <w:p>
            <w:pPr>
              <w:spacing w:before="120" w:after="120" w:line="288"/>
              <w:jc w:val="left"/>
            </w:pPr>
            <w:r>
              <w:t xml:space="preserve">Cannot identify ported numbers (Ported-In from Customer, Tango-Provided, or New Number)</w:t>
            </w:r>
          </w:p>
          <w:p>
            <w:pPr>
              <w:spacing w:before="120" w:after="120" w:line="288"/>
              <w:jc w:val="left"/>
            </w:pPr>
          </w:p>
        </w:tc>
        <w:tc>
          <w:tcPr>
            <w:tcW w:w="3120" w:type="dxa"/>
            <w:vMerge w:val="restart"/>
            <w:tcMar/>
          </w:tcPr>
          <w:p>
            <w:pPr>
              <w:spacing w:before="120" w:after="120" w:line="288"/>
              <w:jc w:val="left"/>
            </w:pPr>
            <w:r>
              <w:t xml:space="preserve">Portal does not show port origin</w:t>
            </w:r>
          </w:p>
        </w:tc>
        <w:tc>
          <w:tcPr>
            <w:tcW w:w="3120" w:type="dxa"/>
            <w:vMerge w:val="restart"/>
            <w:tcMar/>
          </w:tcPr>
          <w:p>
            <w:pPr>
              <w:spacing w:before="120" w:after="120" w:line="288"/>
              <w:jc w:val="left"/>
            </w:pPr>
            <w:r>
              <w:t xml:space="preserve">Use </w:t>
            </w:r>
            <w:r>
              <w:rPr>
                <w:b w:val="true"/>
                <w:bCs w:val="true"/>
              </w:rPr>
              <w:t xml:space="preserve">Export CSV</w:t>
            </w:r>
            <w:r>
              <w:t xml:space="preserve"> from Porting Dashboard </w:t>
            </w:r>
          </w:p>
        </w:tc>
      </w:tr>
    </w:tbl>
    <w:p>
      <w:pPr>
        <w:pStyle w:val="Heading3"/>
        <w:spacing w:before="120" w:after="120" w:line="288"/>
        <w:jc w:val="left"/>
      </w:pPr>
      <w:bookmarkStart w:name="_Toc29" w:id="29"/>
      <w:r>
        <w:rPr>
          <w:b w:val="true"/>
          <w:bCs w:val="true"/>
        </w:rPr>
        <w:t xml:space="preserve">Tango Escalation Guidance</w:t>
      </w:r>
      <w:bookmarkEnd w:id="29"/>
    </w:p>
    <w:p>
      <w:pPr>
        <w:spacing w:before="120" w:after="120" w:line="288"/>
        <w:jc w:val="left"/>
      </w:pPr>
      <w:hyperlink r:id="rId15">
        <w:r>
          <w:rPr>
            <w:rStyle w:val="Hyperlink"/>
          </w:rPr>
          <w:t xml:space="preserve">https://docs.zoom.us/doc/aPz6K6eFRrqFY3hECwjTCg</w:t>
        </w:r>
      </w:hyperlink>
    </w:p>
    <w:p>
      <w:pPr>
        <w:pStyle w:val="Heading3"/>
        <w:spacing w:before="120" w:after="120" w:line="288"/>
        <w:jc w:val="left"/>
      </w:pPr>
      <w:bookmarkStart w:name="_Toc30" w:id="30"/>
      <w:r>
        <w:rPr>
          <w:b w:val="true"/>
          <w:bCs w:val="true"/>
        </w:rPr>
        <w:t xml:space="preserve">Tango Additional Notes</w:t>
      </w:r>
      <w:bookmarkEnd w:id="30"/>
    </w:p>
    <w:p>
      <w:pPr>
        <w:pStyle w:val="ListParagraph"/>
        <w:numPr>
          <w:ilvl w:val="0"/>
          <w:numId w:val="125"/>
        </w:numPr>
        <w:spacing w:before="120" w:after="120" w:line="288"/>
        <w:jc w:val="left"/>
      </w:pPr>
      <w:r>
        <w:rPr>
          <w:b w:val="true"/>
          <w:bCs w:val="true"/>
        </w:rPr>
        <w:t xml:space="preserve">SIM and Number Relationship:</w:t>
      </w:r>
      <w:r>
        <w:t xml:space="preserve"> SIMs and numbers are managed separately until provisioning; during porting, only the number changes.</w:t>
      </w:r>
    </w:p>
    <w:p>
      <w:pPr>
        <w:pStyle w:val="ListParagraph"/>
        <w:numPr>
          <w:ilvl w:val="0"/>
          <w:numId w:val="126"/>
        </w:numPr>
        <w:spacing w:before="120" w:after="120" w:line="288"/>
        <w:jc w:val="left"/>
      </w:pPr>
      <w:r>
        <w:rPr>
          <w:b w:val="true"/>
          <w:bCs w:val="true"/>
        </w:rPr>
        <w:t xml:space="preserve">Tango Port Request Limits:</w:t>
      </w:r>
      <w:r>
        <w:t xml:space="preserve"> No daily submission limit.</w:t>
      </w:r>
    </w:p>
    <w:p>
      <w:pPr>
        <w:pStyle w:val="ListParagraph"/>
        <w:numPr>
          <w:ilvl w:val="0"/>
          <w:numId w:val="127"/>
        </w:numPr>
        <w:spacing w:before="120" w:after="120" w:line="288"/>
        <w:jc w:val="left"/>
      </w:pPr>
      <w:r>
        <w:rPr>
          <w:b w:val="true"/>
          <w:bCs w:val="true"/>
          <w:color w:val="2A2B2D"/>
        </w:rPr>
        <w:t xml:space="preserve">Number Block Allocation:</w:t>
      </w:r>
      <w:r>
        <w:rPr>
          <w:color w:val="2A2B2D"/>
        </w:rPr>
        <w:t xml:space="preserve"> There will be no memorable or vanity numbers in the allocated blocks. Number ranges are assigned sequentially and cannot be tagged as vanity numbers.</w:t>
      </w:r>
    </w:p>
    <w:p>
      <w:pPr>
        <w:pStyle w:val="ListParagraph"/>
        <w:numPr>
          <w:ilvl w:val="0"/>
          <w:numId w:val="128"/>
        </w:numPr>
        <w:spacing w:before="120" w:after="120" w:line="288"/>
        <w:jc w:val="left"/>
      </w:pPr>
      <w:r>
        <w:rPr>
          <w:b w:val="true"/>
          <w:bCs w:val="true"/>
        </w:rPr>
        <w:t xml:space="preserve">API Integration (Future):</w:t>
      </w:r>
      <w:r>
        <w:t xml:space="preserve"> Will automate port status checks, bulk submissions, and subscription terminations.</w:t>
      </w:r>
    </w:p>
    <w:p>
      <w:pPr>
        <w:spacing w:before="120" w:after="120" w:line="288"/>
        <w:jc w:val="left"/>
      </w:pPr>
    </w:p>
  </w:body>
</w:document>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4"/>
      <w:numFmt w:val="decimal"/>
      <w:lvlText w:val="%1."/>
      <w:lvlJc w:val="left"/>
      <w:pPr>
        <w:ind w:left="720" w:hanging="36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5"/>
      <w:numFmt w:val="decimal"/>
      <w:lvlText w:val="%1."/>
      <w:lvlJc w:val="left"/>
      <w:pPr>
        <w:ind w:left="720" w:hanging="36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6"/>
      <w:numFmt w:val="decimal"/>
      <w:lvlText w:val="%1."/>
      <w:lvlJc w:val="left"/>
      <w:pPr>
        <w:ind w:left="720" w:hanging="36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7">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8">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20">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21">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2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29">
    <w:multiLevelType xmlns:w="http://schemas.openxmlformats.org/wordprocessingml/2006/main" w:val="hybridMultilevel"/>
    <w:lvl xmlns:w="http://schemas.openxmlformats.org/wordprocessingml/2006/main" w:ilvl="0">
      <w:start w:val="1"/>
      <w:numFmt w:val="lowerLetter"/>
      <w:lvlText w:val="%1."/>
      <w:lvlJc w:val="left"/>
      <w:pPr>
        <w:ind w:left="1440" w:hanging="360"/>
      </w:pPr>
    </w:lvl>
  </w:abstractNum>
  <w:abstractNum xmlns:w="http://schemas.openxmlformats.org/wordprocessingml/2006/main" w:abstractNumId="30">
    <w:multiLevelType xmlns:w="http://schemas.openxmlformats.org/wordprocessingml/2006/main" w:val="hybridMultilevel"/>
    <w:lvl xmlns:w="http://schemas.openxmlformats.org/wordprocessingml/2006/main" w:ilvl="0">
      <w:start w:val="2"/>
      <w:numFmt w:val="lowerLetter"/>
      <w:lvlText w:val="%1."/>
      <w:lvlJc w:val="left"/>
      <w:pPr>
        <w:ind w:left="1440" w:hanging="360"/>
      </w:pPr>
    </w:lvl>
  </w:abstractNum>
  <w:abstractNum xmlns:w="http://schemas.openxmlformats.org/wordprocessingml/2006/main" w:abstractNumId="31">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32">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33">
    <w:multiLevelType xmlns:w="http://schemas.openxmlformats.org/wordprocessingml/2006/main" w:val="hybridMultilevel"/>
    <w:lvl xmlns:w="http://schemas.openxmlformats.org/wordprocessingml/2006/main" w:ilvl="0">
      <w:start w:val="4"/>
      <w:numFmt w:val="decimal"/>
      <w:lvlText w:val="%1."/>
      <w:lvlJc w:val="left"/>
      <w:pPr>
        <w:ind w:left="720" w:hanging="360"/>
      </w:pPr>
    </w:lvl>
  </w:abstractNum>
  <w:abstractNum xmlns:w="http://schemas.openxmlformats.org/wordprocessingml/2006/main" w:abstractNumId="3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5">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36">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3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0">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41">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42">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43">
    <w:multiLevelType xmlns:w="http://schemas.openxmlformats.org/wordprocessingml/2006/main" w:val="hybridMultilevel"/>
    <w:lvl xmlns:w="http://schemas.openxmlformats.org/wordprocessingml/2006/main" w:ilvl="0">
      <w:start w:val="4"/>
      <w:numFmt w:val="decimal"/>
      <w:lvlText w:val="%1."/>
      <w:lvlJc w:val="left"/>
      <w:pPr>
        <w:ind w:left="720" w:hanging="360"/>
      </w:pPr>
    </w:lvl>
  </w:abstractNum>
  <w:abstractNum xmlns:w="http://schemas.openxmlformats.org/wordprocessingml/2006/main" w:abstractNumId="44">
    <w:multiLevelType xmlns:w="http://schemas.openxmlformats.org/wordprocessingml/2006/main" w:val="hybridMultilevel"/>
    <w:lvl xmlns:w="http://schemas.openxmlformats.org/wordprocessingml/2006/main" w:ilvl="0">
      <w:start w:val="5"/>
      <w:numFmt w:val="decimal"/>
      <w:lvlText w:val="%1."/>
      <w:lvlJc w:val="left"/>
      <w:pPr>
        <w:ind w:left="720" w:hanging="360"/>
      </w:pPr>
    </w:lvl>
  </w:abstractNum>
  <w:abstractNum xmlns:w="http://schemas.openxmlformats.org/wordprocessingml/2006/main" w:abstractNumId="45">
    <w:multiLevelType xmlns:w="http://schemas.openxmlformats.org/wordprocessingml/2006/main" w:val="hybridMultilevel"/>
    <w:lvl xmlns:w="http://schemas.openxmlformats.org/wordprocessingml/2006/main" w:ilvl="0">
      <w:start w:val="6"/>
      <w:numFmt w:val="decimal"/>
      <w:lvlText w:val="%1."/>
      <w:lvlJc w:val="left"/>
      <w:pPr>
        <w:ind w:left="720" w:hanging="360"/>
      </w:pPr>
    </w:lvl>
  </w:abstractNum>
  <w:abstractNum xmlns:w="http://schemas.openxmlformats.org/wordprocessingml/2006/main" w:abstractNumId="4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7">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4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8">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7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6">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7">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8">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3">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7">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0">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01">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02">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03">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0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5">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0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0">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11">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1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5">
    <w:multiLevelType xmlns:w="http://schemas.openxmlformats.org/wordprocessingml/2006/main" w:val="hybridMultilevel"/>
    <w:lvl xmlns:w="http://schemas.openxmlformats.org/wordprocessingml/2006/main" w:ilvl="0">
      <w:start w:val="1"/>
      <w:numFmt w:val="decimal"/>
      <w:lvlText w:val="%1."/>
      <w:lvlJc w:val="left"/>
      <w:pPr>
        <w:ind w:left="720" w:hanging="360"/>
      </w:pPr>
    </w:lvl>
  </w:abstractNum>
  <w:abstractNum xmlns:w="http://schemas.openxmlformats.org/wordprocessingml/2006/main" w:abstractNumId="116">
    <w:multiLevelType xmlns:w="http://schemas.openxmlformats.org/wordprocessingml/2006/main" w:val="hybridMultilevel"/>
    <w:lvl xmlns:w="http://schemas.openxmlformats.org/wordprocessingml/2006/main" w:ilvl="0">
      <w:start w:val="2"/>
      <w:numFmt w:val="decimal"/>
      <w:lvlText w:val="%1."/>
      <w:lvlJc w:val="left"/>
      <w:pPr>
        <w:ind w:left="720" w:hanging="360"/>
      </w:pPr>
    </w:lvl>
  </w:abstractNum>
  <w:abstractNum xmlns:w="http://schemas.openxmlformats.org/wordprocessingml/2006/main" w:abstractNumId="117">
    <w:multiLevelType xmlns:w="http://schemas.openxmlformats.org/wordprocessingml/2006/main" w:val="hybridMultilevel"/>
    <w:lvl xmlns:w="http://schemas.openxmlformats.org/wordprocessingml/2006/main" w:ilvl="0">
      <w:start w:val="3"/>
      <w:numFmt w:val="decimal"/>
      <w:lvlText w:val="%1."/>
      <w:lvlJc w:val="left"/>
      <w:pPr>
        <w:ind w:left="720" w:hanging="360"/>
      </w:pPr>
    </w:lvl>
  </w:abstractNum>
  <w:abstractNum xmlns:w="http://schemas.openxmlformats.org/wordprocessingml/2006/main" w:abstractNumId="118">
    <w:multiLevelType xmlns:w="http://schemas.openxmlformats.org/wordprocessingml/2006/main" w:val="hybridMultilevel"/>
    <w:lvl xmlns:w="http://schemas.openxmlformats.org/wordprocessingml/2006/main" w:ilvl="0">
      <w:start w:val="4"/>
      <w:numFmt w:val="decimal"/>
      <w:lvlText w:val="%1."/>
      <w:lvlJc w:val="left"/>
      <w:pPr>
        <w:ind w:left="720" w:hanging="360"/>
      </w:pPr>
    </w:lvl>
  </w:abstractNum>
  <w:abstractNum xmlns:w="http://schemas.openxmlformats.org/wordprocessingml/2006/main" w:abstractNumId="119">
    <w:multiLevelType xmlns:w="http://schemas.openxmlformats.org/wordprocessingml/2006/main" w:val="hybridMultilevel"/>
    <w:lvl xmlns:w="http://schemas.openxmlformats.org/wordprocessingml/2006/main" w:ilvl="0">
      <w:start w:val="5"/>
      <w:numFmt w:val="decimal"/>
      <w:lvlText w:val="%1."/>
      <w:lvlJc w:val="left"/>
      <w:pPr>
        <w:ind w:left="720" w:hanging="360"/>
      </w:pPr>
    </w:lvl>
  </w:abstractNum>
  <w:abstractNum xmlns:w="http://schemas.openxmlformats.org/wordprocessingml/2006/main" w:abstractNumId="120">
    <w:multiLevelType xmlns:w="http://schemas.openxmlformats.org/wordprocessingml/2006/main" w:val="hybridMultilevel"/>
    <w:lvl xmlns:w="http://schemas.openxmlformats.org/wordprocessingml/2006/main" w:ilvl="0">
      <w:start w:val="6"/>
      <w:numFmt w:val="decimal"/>
      <w:lvlText w:val="%1."/>
      <w:lvlJc w:val="left"/>
      <w:pPr>
        <w:ind w:left="720" w:hanging="360"/>
      </w:pPr>
    </w:lvl>
  </w:abstractNum>
  <w:abstractNum xmlns:w="http://schemas.openxmlformats.org/wordprocessingml/2006/main" w:abstractNumId="12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4">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12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bering>
</file>

<file path=word/settings.xml><?xml version="1.0" encoding="utf-8"?>
<w:settings xmlns:w="http://schemas.openxmlformats.org/wordprocessingml/2006/main">
  <w:endnotePr>
    <w:pos w:val="docEnd"/>
    <w:numFmt w:val="decimal"/>
    <w:start w:val="1"/>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85B35E"/>
    <w:rPr>
      <w:color w:val="467886"/>
      <w:u w:val="single"/>
    </w:rPr>
  </w:style>
  <w:style w:type="paragraph" w:styleId="ListParagraph">
    <w:uiPriority w:val="34"/>
    <w:name w:val="List Paragraph"/>
    <w:basedOn w:val="Normal"/>
    <w:qFormat/>
    <w:rsid w:val="22B6045E"/>
    <w:pPr>
      <w:spacing/>
      <w:ind w:left="720"/>
      <w:contextualSpacing/>
    </w:pPr>
  </w:style>
  <w:style w:type="paragraph" w:styleId="TOC1">
    <w:uiPriority w:val="39"/>
    <w:name w:val="toc 1"/>
    <w:basedOn w:val="Normal"/>
    <w:next w:val="Normal"/>
    <w:unhideWhenUsed/>
    <w:rsid w:val="4B19D2DD"/>
    <w:pPr>
      <w:spacing w:after="100"/>
    </w:pPr>
  </w:style>
  <w:style w:type="paragraph" w:styleId="TOC2">
    <w:uiPriority w:val="39"/>
    <w:name w:val="toc 2"/>
    <w:basedOn w:val="Normal"/>
    <w:next w:val="Normal"/>
    <w:unhideWhenUsed/>
    <w:rsid w:val="4B19D2DD"/>
    <w:pPr>
      <w:spacing w:after="100"/>
      <w:ind w:left="220"/>
    </w:pPr>
  </w:style>
  <w:style w:type="paragraph" w:styleId="TOC3">
    <w:uiPriority w:val="39"/>
    <w:name w:val="toc 3"/>
    <w:basedOn w:val="Normal"/>
    <w:next w:val="Normal"/>
    <w:unhideWhenUsed/>
    <w:rsid w:val="4B19D2DD"/>
    <w:pPr>
      <w:spacing w:after="100"/>
      <w:ind w:left="440"/>
    </w:pPr>
  </w:style>
  <w:style w:type="paragraph" w:styleId="TOC4">
    <w:uiPriority w:val="39"/>
    <w:name w:val="toc 4"/>
    <w:basedOn w:val="Normal"/>
    <w:next w:val="Normal"/>
    <w:unhideWhenUsed/>
    <w:rsid w:val="4B19D2DD"/>
    <w:pPr>
      <w:spacing w:after="100"/>
      <w:ind w:left="660"/>
    </w:pPr>
  </w:style>
  <w:style w:type="paragraph" w:styleId="TOC5">
    <w:uiPriority w:val="39"/>
    <w:name w:val="toc 5"/>
    <w:basedOn w:val="Normal"/>
    <w:next w:val="Normal"/>
    <w:unhideWhenUsed/>
    <w:rsid w:val="4B19D2DD"/>
    <w:pPr>
      <w:spacing w:after="100"/>
      <w:ind w:left="880"/>
    </w:pPr>
  </w:style>
  <w:style w:type="paragraph" w:styleId="TOC6">
    <w:uiPriority w:val="39"/>
    <w:name w:val="toc 6"/>
    <w:basedOn w:val="Normal"/>
    <w:next w:val="Normal"/>
    <w:unhideWhenUsed/>
    <w:rsid w:val="4B19D2DD"/>
    <w:pPr>
      <w:spacing w:after="100"/>
      <w:ind w:left="1100"/>
    </w:pPr>
  </w:style>
  <w:style w:type="paragraph" w:styleId="EndnoteText">
    <w:uiPriority w:val="99"/>
    <w:name w:val="endnote text"/>
    <w:basedOn w:val="Normal"/>
    <w:semiHidden/>
    <w:unhideWhenUsed/>
    <w:rsid w:val="7FB19044"/>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numbering" Target="numbering.xml"></Relationship><Relationship Id="rId4" Type="http://schemas.openxmlformats.org/officeDocument/2006/relationships/settings" Target="settings.xml"></Relationship><Relationship Id="rId5" Type="http://schemas.openxmlformats.org/officeDocument/2006/relationships/hyperlink" Target="https://docs.zoom.us/doc/hWi_hhlxTQ27YSL3X6fV1w" TargetMode="External"></Relationship><Relationship Id="rId6" Type="http://schemas.openxmlformats.org/officeDocument/2006/relationships/hyperlink" Target="https://docs.zoom.us/doc/hWi_hhlxTQ27YSL3X6fV1w" TargetMode="External"></Relationship><Relationship Id="rId7" Type="http://schemas.openxmlformats.org/officeDocument/2006/relationships/hyperlink" Target="https://docs.zoom.us/doc/hWi_hhlxTQ27YSL3X6fV1w" TargetMode="External"></Relationship><Relationship Id="rId8" Type="http://schemas.openxmlformats.org/officeDocument/2006/relationships/hyperlink" Target="https://docs.zoom.us/doc/hWi_hhlxTQ27YSL3X6fV1w" TargetMode="External"></Relationship><Relationship Id="rId9" Type="http://schemas.openxmlformats.org/officeDocument/2006/relationships/image" Target="/media/1.png"></Relationship><Relationship Id="rId10" Type="http://schemas.openxmlformats.org/officeDocument/2006/relationships/image" Target="/media/2.png"></Relationship><Relationship Id="rId11" Type="http://schemas.openxmlformats.org/officeDocument/2006/relationships/hyperlink" Target="https://docs.zoom.us/doc/8nmBIeFcTOeJD_TWcSZWiA" TargetMode="External"></Relationship><Relationship Id="rId12" Type="http://schemas.openxmlformats.org/officeDocument/2006/relationships/image" Target="/media/3.png"></Relationship><Relationship Id="rId13" Type="http://schemas.openxmlformats.org/officeDocument/2006/relationships/image" Target="/media/4.png"></Relationship><Relationship Id="rId14" Type="http://schemas.openxmlformats.org/officeDocument/2006/relationships/image" Target="/media/5.png"></Relationship><Relationship Id="rId15" Type="http://schemas.openxmlformats.org/officeDocument/2006/relationships/hyperlink" Target="https://docs.zoom.us/doc/aPz6K6eFRrqFY3hECwjTCg"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