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p>
    <w:p>
      <w:pPr>
        <w:spacing w:after="0" w:before="0"/>
      </w:pPr>
    </w:p>
    <w:p>
      <w:pPr>
        <w:spacing w:after="0" w:before="0"/>
      </w:pPr>
    </w:p>
    <w:p>
      <w:pPr>
        <w:spacing w:after="0" w:before="0"/>
      </w:pPr>
    </w:p>
    <w:p>
      <w:pPr>
        <w:spacing w:after="400"/>
        <w:jc w:val="center"/>
      </w:pPr>
      <w:r>
        <w:rPr>
          <w:color w:val="D4875A"/>
          <w:sz w:val="28"/>
        </w:rPr>
        <w:t>━━━━━━━━━━━━━━━━━━━━━━━━━━━━━━━━━━━━━━━━</w:t>
      </w:r>
    </w:p>
    <w:p>
      <w:pPr>
        <w:spacing w:after="120"/>
        <w:jc w:val="center"/>
      </w:pPr>
      <w:r>
        <w:rPr>
          <w:b/>
          <w:color w:val="1A2330"/>
          <w:sz w:val="64"/>
          <w:rFonts w:eastAsia="SimHei" w:ascii="SimHei" w:hAnsi="SimHei"/>
        </w:rPr>
        <w:t>Edge AI 数据手套</w:t>
      </w:r>
    </w:p>
    <w:p>
      <w:pPr>
        <w:spacing w:after="120"/>
        <w:jc w:val="center"/>
      </w:pPr>
      <w:r>
        <w:rPr>
          <w:b/>
          <w:color w:val="D4875A"/>
          <w:sz w:val="56"/>
          <w:rFonts w:eastAsia="SimHei" w:ascii="SimHei" w:hAnsi="SimHei"/>
        </w:rPr>
        <w:t>全阶段 SOP SPEC PLAN</w:t>
      </w:r>
    </w:p>
    <w:p>
      <w:pPr>
        <w:spacing w:before="320" w:after="600"/>
        <w:jc w:val="center"/>
      </w:pPr>
      <w:r>
        <w:rPr>
          <w:i/>
          <w:color w:val="333333"/>
          <w:sz w:val="32"/>
          <w:rFonts w:eastAsia="Microsoft YaHei" w:ascii="Calibri" w:hAnsi="Calibri"/>
        </w:rPr>
        <w:t>标准操作规程与规范计划 v2.0</w:t>
      </w:r>
    </w:p>
    <w:p>
      <w:pPr>
        <w:spacing w:before="200" w:after="400"/>
        <w:jc w:val="center"/>
      </w:pPr>
      <w:r>
        <w:rPr>
          <w:color w:val="D4875A"/>
          <w:sz w:val="28"/>
        </w:rPr>
        <w:t>━━━━━━━━━━━━━━━━━━━━━━━━━━━━━━━━━━━━━━━━</w:t>
      </w:r>
    </w:p>
    <w:p>
      <w:pPr>
        <w:spacing w:after="0"/>
      </w:pPr>
    </w:p>
    <w:p>
      <w:pPr>
        <w:spacing w:after="0"/>
      </w:pPr>
    </w:p>
    <w:p>
      <w:pPr>
        <w:spacing w:before="80" w:after="80"/>
        <w:jc w:val="center"/>
      </w:pPr>
      <w:r>
        <w:rPr>
          <w:color w:val="333333"/>
          <w:sz w:val="24"/>
          <w:rFonts w:eastAsia="Microsoft YaHei" w:ascii="Calibri" w:hAnsi="Calibri"/>
        </w:rPr>
        <w:t>项目类型：手语翻译 / 动作捕捉 / 数据手套</w:t>
      </w:r>
    </w:p>
    <w:p>
      <w:pPr>
        <w:spacing w:before="80" w:after="80"/>
        <w:jc w:val="center"/>
      </w:pPr>
      <w:r>
        <w:rPr>
          <w:color w:val="333333"/>
          <w:sz w:val="24"/>
          <w:rFonts w:eastAsia="Microsoft YaHei" w:ascii="Calibri" w:hAnsi="Calibri"/>
        </w:rPr>
        <w:t>MCU：ESP32-S3-DevKitC-1 N16R8</w:t>
      </w:r>
    </w:p>
    <w:p>
      <w:pPr>
        <w:spacing w:before="80" w:after="80"/>
        <w:jc w:val="center"/>
      </w:pPr>
      <w:r>
        <w:rPr>
          <w:color w:val="333333"/>
          <w:sz w:val="24"/>
          <w:rFonts w:eastAsia="Microsoft YaHei" w:ascii="Calibri" w:hAnsi="Calibri"/>
        </w:rPr>
        <w:t>日期：2026-04-16</w:t>
      </w:r>
    </w:p>
    <w:p>
      <w:r>
        <w:br w:type="page"/>
      </w:r>
    </w:p>
    <w:p>
      <w:pPr>
        <w:spacing w:before="360" w:after="160" w:line="312" w:lineRule="auto"/>
        <w:jc w:val="left"/>
      </w:pPr>
      <w:r>
        <w:rPr>
          <w:b/>
          <w:color w:val="333333"/>
          <w:sz w:val="32"/>
          <w:rFonts w:eastAsia="SimHei" w:ascii="SimHei" w:hAnsi="SimHei"/>
        </w:rPr>
        <w:t>目  录</w:t>
      </w:r>
    </w:p>
    <w:p>
      <w:pPr>
        <w:spacing w:before="40" w:after="40" w:line="360" w:lineRule="auto"/>
      </w:pPr>
      <w:r>
        <w:rPr>
          <w:b/>
          <w:color w:val="333333"/>
          <w:sz w:val="22"/>
          <w:rFonts w:eastAsia="Microsoft YaHei" w:ascii="Calibri" w:hAnsi="Calibri"/>
        </w:rPr>
        <w:t>1  项目愿景与目标</w:t>
      </w:r>
      <w:r>
        <w:rPr>
          <w:color w:val="999999"/>
          <w:sz w:val="20"/>
        </w:rPr>
        <w:t xml:space="preserve">  ····················  3</w:t>
      </w:r>
    </w:p>
    <w:p>
      <w:pPr>
        <w:spacing w:before="40" w:after="40" w:line="360" w:lineRule="auto"/>
      </w:pPr>
      <w:r>
        <w:rPr>
          <w:b/>
          <w:color w:val="333333"/>
          <w:sz w:val="22"/>
          <w:rFonts w:eastAsia="Microsoft YaHei" w:ascii="Calibri" w:hAnsi="Calibri"/>
        </w:rPr>
        <w:t>2  架构决策记录（ADR）</w:t>
      </w:r>
      <w:r>
        <w:rPr>
          <w:color w:val="999999"/>
          <w:sz w:val="20"/>
        </w:rPr>
        <w:t xml:space="preserve">  ····················  4</w:t>
      </w:r>
    </w:p>
    <w:p>
      <w:pPr>
        <w:spacing w:before="40" w:after="40" w:line="360" w:lineRule="auto"/>
      </w:pPr>
      <w:r>
        <w:rPr>
          <w:b/>
          <w:color w:val="333333"/>
          <w:sz w:val="22"/>
          <w:rFonts w:eastAsia="Microsoft YaHei" w:ascii="Calibri" w:hAnsi="Calibri"/>
        </w:rPr>
        <w:t>3  系统架构总览</w:t>
      </w:r>
      <w:r>
        <w:rPr>
          <w:color w:val="999999"/>
          <w:sz w:val="20"/>
        </w:rPr>
        <w:t xml:space="preserve">  ····················  6</w:t>
      </w:r>
    </w:p>
    <w:p>
      <w:pPr>
        <w:spacing w:before="40" w:after="40" w:line="360" w:lineRule="auto"/>
        <w:ind w:left="480"/>
      </w:pPr>
      <w:r>
        <w:rPr>
          <w:color w:val="333333"/>
          <w:sz w:val="22"/>
          <w:rFonts w:eastAsia="Microsoft YaHei" w:ascii="Calibri" w:hAnsi="Calibri"/>
        </w:rPr>
        <w:t xml:space="preserve">  3.1  硬件架构</w:t>
      </w:r>
      <w:r>
        <w:rPr>
          <w:color w:val="999999"/>
          <w:sz w:val="20"/>
        </w:rPr>
        <w:t xml:space="preserve">  ····················  6</w:t>
      </w:r>
    </w:p>
    <w:p>
      <w:pPr>
        <w:spacing w:before="40" w:after="40" w:line="360" w:lineRule="auto"/>
        <w:ind w:left="480"/>
      </w:pPr>
      <w:r>
        <w:rPr>
          <w:color w:val="333333"/>
          <w:sz w:val="22"/>
          <w:rFonts w:eastAsia="Microsoft YaHei" w:ascii="Calibri" w:hAnsi="Calibri"/>
        </w:rPr>
        <w:t xml:space="preserve">  3.2  软件栈</w:t>
      </w:r>
      <w:r>
        <w:rPr>
          <w:color w:val="999999"/>
          <w:sz w:val="20"/>
        </w:rPr>
        <w:t xml:space="preserve">  ····················  7</w:t>
      </w:r>
    </w:p>
    <w:p>
      <w:pPr>
        <w:spacing w:before="40" w:after="40" w:line="360" w:lineRule="auto"/>
        <w:ind w:left="480"/>
      </w:pPr>
      <w:r>
        <w:rPr>
          <w:color w:val="333333"/>
          <w:sz w:val="22"/>
          <w:rFonts w:eastAsia="Microsoft YaHei" w:ascii="Calibri" w:hAnsi="Calibri"/>
        </w:rPr>
        <w:t xml:space="preserve">  3.3  双层推理架构</w:t>
      </w:r>
      <w:r>
        <w:rPr>
          <w:color w:val="999999"/>
          <w:sz w:val="20"/>
        </w:rPr>
        <w:t xml:space="preserve">  ····················  7</w:t>
      </w:r>
    </w:p>
    <w:p>
      <w:pPr>
        <w:spacing w:before="40" w:after="40" w:line="360" w:lineRule="auto"/>
        <w:ind w:left="480"/>
      </w:pPr>
      <w:r>
        <w:rPr>
          <w:color w:val="333333"/>
          <w:sz w:val="22"/>
          <w:rFonts w:eastAsia="Microsoft YaHei" w:ascii="Calibri" w:hAnsi="Calibri"/>
        </w:rPr>
        <w:t xml:space="preserve">  3.4  分阶段通信架构</w:t>
      </w:r>
      <w:r>
        <w:rPr>
          <w:color w:val="999999"/>
          <w:sz w:val="20"/>
        </w:rPr>
        <w:t xml:space="preserve">  ····················  8</w:t>
      </w:r>
    </w:p>
    <w:p>
      <w:pPr>
        <w:spacing w:before="40" w:after="40" w:line="360" w:lineRule="auto"/>
      </w:pPr>
      <w:r>
        <w:rPr>
          <w:b/>
          <w:color w:val="333333"/>
          <w:sz w:val="22"/>
          <w:rFonts w:eastAsia="Microsoft YaHei" w:ascii="Calibri" w:hAnsi="Calibri"/>
        </w:rPr>
        <w:t>4  Phase 1：HAL与驱动层开发</w:t>
      </w:r>
      <w:r>
        <w:rPr>
          <w:color w:val="999999"/>
          <w:sz w:val="20"/>
        </w:rPr>
        <w:t xml:space="preserve">  ····················  9</w:t>
      </w:r>
    </w:p>
    <w:p>
      <w:pPr>
        <w:spacing w:before="40" w:after="40" w:line="360" w:lineRule="auto"/>
        <w:ind w:left="480"/>
      </w:pPr>
      <w:r>
        <w:rPr>
          <w:color w:val="333333"/>
          <w:sz w:val="22"/>
          <w:rFonts w:eastAsia="Microsoft YaHei" w:ascii="Calibri" w:hAnsi="Calibri"/>
        </w:rPr>
        <w:t xml:space="preserve">  4.1  TMAG5273驱动</w:t>
      </w:r>
      <w:r>
        <w:rPr>
          <w:color w:val="999999"/>
          <w:sz w:val="20"/>
        </w:rPr>
        <w:t xml:space="preserve">  ····················  9</w:t>
      </w:r>
    </w:p>
    <w:p>
      <w:pPr>
        <w:spacing w:before="40" w:after="40" w:line="360" w:lineRule="auto"/>
        <w:ind w:left="480"/>
      </w:pPr>
      <w:r>
        <w:rPr>
          <w:color w:val="333333"/>
          <w:sz w:val="22"/>
          <w:rFonts w:eastAsia="Microsoft YaHei" w:ascii="Calibri" w:hAnsi="Calibri"/>
        </w:rPr>
        <w:t xml:space="preserve">  4.2  BNO085驱动</w:t>
      </w:r>
      <w:r>
        <w:rPr>
          <w:color w:val="999999"/>
          <w:sz w:val="20"/>
        </w:rPr>
        <w:t xml:space="preserve">  ····················  10</w:t>
      </w:r>
    </w:p>
    <w:p>
      <w:pPr>
        <w:spacing w:before="40" w:after="40" w:line="360" w:lineRule="auto"/>
        <w:ind w:left="480"/>
      </w:pPr>
      <w:r>
        <w:rPr>
          <w:color w:val="333333"/>
          <w:sz w:val="22"/>
          <w:rFonts w:eastAsia="Microsoft YaHei" w:ascii="Calibri" w:hAnsi="Calibri"/>
        </w:rPr>
        <w:t xml:space="preserve">  4.3  TCA9548A多路复用器</w:t>
      </w:r>
      <w:r>
        <w:rPr>
          <w:color w:val="999999"/>
          <w:sz w:val="20"/>
        </w:rPr>
        <w:t xml:space="preserve">  ····················  10</w:t>
      </w:r>
    </w:p>
    <w:p>
      <w:pPr>
        <w:spacing w:before="40" w:after="40" w:line="360" w:lineRule="auto"/>
        <w:ind w:left="480"/>
      </w:pPr>
      <w:r>
        <w:rPr>
          <w:color w:val="333333"/>
          <w:sz w:val="22"/>
          <w:rFonts w:eastAsia="Microsoft YaHei" w:ascii="Calibri" w:hAnsi="Calibri"/>
        </w:rPr>
        <w:t xml:space="preserve">  4.4  FreeRTOS任务框架</w:t>
      </w:r>
      <w:r>
        <w:rPr>
          <w:color w:val="999999"/>
          <w:sz w:val="20"/>
        </w:rPr>
        <w:t xml:space="preserve">  ····················  10</w:t>
      </w:r>
    </w:p>
    <w:p>
      <w:pPr>
        <w:spacing w:before="40" w:after="40" w:line="360" w:lineRule="auto"/>
        <w:ind w:left="480"/>
      </w:pPr>
      <w:r>
        <w:rPr>
          <w:color w:val="333333"/>
          <w:sz w:val="22"/>
          <w:rFonts w:eastAsia="Microsoft YaHei" w:ascii="Calibri" w:hAnsi="Calibri"/>
        </w:rPr>
        <w:t xml:space="preserve">  4.5  验收标准</w:t>
      </w:r>
      <w:r>
        <w:rPr>
          <w:color w:val="999999"/>
          <w:sz w:val="20"/>
        </w:rPr>
        <w:t xml:space="preserve">  ····················  11</w:t>
      </w:r>
    </w:p>
    <w:p>
      <w:pPr>
        <w:spacing w:before="40" w:after="40" w:line="360" w:lineRule="auto"/>
      </w:pPr>
      <w:r>
        <w:rPr>
          <w:b/>
          <w:color w:val="333333"/>
          <w:sz w:val="22"/>
          <w:rFonts w:eastAsia="Microsoft YaHei" w:ascii="Calibri" w:hAnsi="Calibri"/>
        </w:rPr>
        <w:t>5  Phase 2：信号处理与数据采集</w:t>
      </w:r>
      <w:r>
        <w:rPr>
          <w:color w:val="999999"/>
          <w:sz w:val="20"/>
        </w:rPr>
        <w:t xml:space="preserve">  ····················  12</w:t>
      </w:r>
    </w:p>
    <w:p>
      <w:pPr>
        <w:spacing w:before="40" w:after="40" w:line="360" w:lineRule="auto"/>
      </w:pPr>
      <w:r>
        <w:rPr>
          <w:b/>
          <w:color w:val="333333"/>
          <w:sz w:val="22"/>
          <w:rFonts w:eastAsia="Microsoft YaHei" w:ascii="Calibri" w:hAnsi="Calibri"/>
        </w:rPr>
        <w:t>6  Phase 3：L1边缘推理 TinyML</w:t>
      </w:r>
      <w:r>
        <w:rPr>
          <w:color w:val="999999"/>
          <w:sz w:val="20"/>
        </w:rPr>
        <w:t xml:space="preserve">  ····················  14</w:t>
      </w:r>
    </w:p>
    <w:p>
      <w:pPr>
        <w:spacing w:before="40" w:after="40" w:line="360" w:lineRule="auto"/>
        <w:ind w:left="480"/>
      </w:pPr>
      <w:r>
        <w:rPr>
          <w:color w:val="333333"/>
          <w:sz w:val="22"/>
          <w:rFonts w:eastAsia="Microsoft YaHei" w:ascii="Calibri" w:hAnsi="Calibri"/>
        </w:rPr>
        <w:t xml:space="preserve">  6.1  路径A：Edge Impulse MVP</w:t>
      </w:r>
      <w:r>
        <w:rPr>
          <w:color w:val="999999"/>
          <w:sz w:val="20"/>
        </w:rPr>
        <w:t xml:space="preserve">  ····················  14</w:t>
      </w:r>
    </w:p>
    <w:p>
      <w:pPr>
        <w:spacing w:before="40" w:after="40" w:line="360" w:lineRule="auto"/>
        <w:ind w:left="480"/>
      </w:pPr>
      <w:r>
        <w:rPr>
          <w:color w:val="333333"/>
          <w:sz w:val="22"/>
          <w:rFonts w:eastAsia="Microsoft YaHei" w:ascii="Calibri" w:hAnsi="Calibri"/>
        </w:rPr>
        <w:t xml:space="preserve">  6.2  路径B：PyTorch → TFLite INT8</w:t>
      </w:r>
      <w:r>
        <w:rPr>
          <w:color w:val="999999"/>
          <w:sz w:val="20"/>
        </w:rPr>
        <w:t xml:space="preserve">  ····················  15</w:t>
      </w:r>
    </w:p>
    <w:p>
      <w:pPr>
        <w:spacing w:before="40" w:after="40" w:line="360" w:lineRule="auto"/>
        <w:ind w:left="480"/>
      </w:pPr>
      <w:r>
        <w:rPr>
          <w:color w:val="333333"/>
          <w:sz w:val="22"/>
          <w:rFonts w:eastAsia="Microsoft YaHei" w:ascii="Calibri" w:hAnsi="Calibri"/>
        </w:rPr>
        <w:t xml:space="preserve">  6.3  推理触发逻辑</w:t>
      </w:r>
      <w:r>
        <w:rPr>
          <w:color w:val="999999"/>
          <w:sz w:val="20"/>
        </w:rPr>
        <w:t xml:space="preserve">  ····················  16</w:t>
      </w:r>
    </w:p>
    <w:p>
      <w:pPr>
        <w:spacing w:before="40" w:after="40" w:line="360" w:lineRule="auto"/>
        <w:ind w:left="480"/>
      </w:pPr>
      <w:r>
        <w:rPr>
          <w:color w:val="333333"/>
          <w:sz w:val="22"/>
          <w:rFonts w:eastAsia="Microsoft YaHei" w:ascii="Calibri" w:hAnsi="Calibri"/>
        </w:rPr>
        <w:t xml:space="preserve">  6.4  验收标准</w:t>
      </w:r>
      <w:r>
        <w:rPr>
          <w:color w:val="999999"/>
          <w:sz w:val="20"/>
        </w:rPr>
        <w:t xml:space="preserve">  ····················  16</w:t>
      </w:r>
    </w:p>
    <w:p>
      <w:pPr>
        <w:spacing w:before="40" w:after="40" w:line="360" w:lineRule="auto"/>
      </w:pPr>
      <w:r>
        <w:rPr>
          <w:b/>
          <w:color w:val="333333"/>
          <w:sz w:val="22"/>
          <w:rFonts w:eastAsia="Microsoft YaHei" w:ascii="Calibri" w:hAnsi="Calibri"/>
        </w:rPr>
        <w:t>7  Phase 4：通信协议实现</w:t>
      </w:r>
      <w:r>
        <w:rPr>
          <w:color w:val="999999"/>
          <w:sz w:val="20"/>
        </w:rPr>
        <w:t xml:space="preserve">  ····················  17</w:t>
      </w:r>
    </w:p>
    <w:p>
      <w:pPr>
        <w:spacing w:before="40" w:after="40" w:line="360" w:lineRule="auto"/>
      </w:pPr>
      <w:r>
        <w:rPr>
          <w:b/>
          <w:color w:val="333333"/>
          <w:sz w:val="22"/>
          <w:rFonts w:eastAsia="Microsoft YaHei" w:ascii="Calibri" w:hAnsi="Calibri"/>
        </w:rPr>
        <w:t>8  Phase 5：L2 ST-GCN上位机推理</w:t>
      </w:r>
      <w:r>
        <w:rPr>
          <w:color w:val="999999"/>
          <w:sz w:val="20"/>
        </w:rPr>
        <w:t xml:space="preserve">  ····················  19</w:t>
      </w:r>
    </w:p>
    <w:p>
      <w:pPr>
        <w:spacing w:before="40" w:after="40" w:line="360" w:lineRule="auto"/>
      </w:pPr>
      <w:r>
        <w:rPr>
          <w:b/>
          <w:color w:val="333333"/>
          <w:sz w:val="22"/>
          <w:rFonts w:eastAsia="Microsoft YaHei" w:ascii="Calibri" w:hAnsi="Calibri"/>
        </w:rPr>
        <w:t>9  Phase 6：NLP语法纠错与语音合成</w:t>
      </w:r>
      <w:r>
        <w:rPr>
          <w:color w:val="999999"/>
          <w:sz w:val="20"/>
        </w:rPr>
        <w:t xml:space="preserve">  ····················  22</w:t>
      </w:r>
    </w:p>
    <w:p>
      <w:pPr>
        <w:spacing w:before="40" w:after="40" w:line="360" w:lineRule="auto"/>
      </w:pPr>
      <w:r>
        <w:rPr>
          <w:b/>
          <w:color w:val="333333"/>
          <w:sz w:val="22"/>
          <w:rFonts w:eastAsia="Microsoft YaHei" w:ascii="Calibri" w:hAnsi="Calibri"/>
        </w:rPr>
        <w:t>10  Phase 7：渲染层开发</w:t>
      </w:r>
      <w:r>
        <w:rPr>
          <w:color w:val="999999"/>
          <w:sz w:val="20"/>
        </w:rPr>
        <w:t xml:space="preserve">  ····················  24</w:t>
      </w:r>
    </w:p>
    <w:p>
      <w:pPr>
        <w:spacing w:before="40" w:after="40" w:line="360" w:lineRule="auto"/>
      </w:pPr>
      <w:r>
        <w:rPr>
          <w:b/>
          <w:color w:val="333333"/>
          <w:sz w:val="22"/>
          <w:rFonts w:eastAsia="Microsoft YaHei" w:ascii="Calibri" w:hAnsi="Calibri"/>
        </w:rPr>
        <w:t>11  Phase 8：系统集成与测试</w:t>
      </w:r>
      <w:r>
        <w:rPr>
          <w:color w:val="999999"/>
          <w:sz w:val="20"/>
        </w:rPr>
        <w:t xml:space="preserve">  ····················  27</w:t>
      </w:r>
    </w:p>
    <w:p>
      <w:pPr>
        <w:spacing w:before="40" w:after="40" w:line="360" w:lineRule="auto"/>
      </w:pPr>
      <w:r>
        <w:rPr>
          <w:b/>
          <w:color w:val="333333"/>
          <w:sz w:val="22"/>
          <w:rFonts w:eastAsia="Microsoft YaHei" w:ascii="Calibri" w:hAnsi="Calibri"/>
        </w:rPr>
        <w:t>12  已知问题与风险</w:t>
      </w:r>
      <w:r>
        <w:rPr>
          <w:color w:val="999999"/>
          <w:sz w:val="20"/>
        </w:rPr>
        <w:t xml:space="preserve">  ····················  29</w:t>
      </w:r>
    </w:p>
    <w:p>
      <w:pPr>
        <w:spacing w:before="40" w:after="40" w:line="360" w:lineRule="auto"/>
      </w:pPr>
      <w:r>
        <w:rPr>
          <w:b/>
          <w:color w:val="333333"/>
          <w:sz w:val="22"/>
          <w:rFonts w:eastAsia="Microsoft YaHei" w:ascii="Calibri" w:hAnsi="Calibri"/>
        </w:rPr>
        <w:t>13  附录</w:t>
      </w:r>
      <w:r>
        <w:rPr>
          <w:color w:val="999999"/>
          <w:sz w:val="20"/>
        </w:rPr>
        <w:t xml:space="preserve">  ····················  30</w:t>
      </w:r>
    </w:p>
    <w:p>
      <w:r>
        <w:br w:type="page"/>
      </w:r>
    </w:p>
    <w:p>
      <w:pPr>
        <w:spacing w:before="360" w:after="160" w:line="312" w:lineRule="auto"/>
        <w:jc w:val="left"/>
      </w:pPr>
      <w:r>
        <w:rPr>
          <w:b/>
          <w:color w:val="333333"/>
          <w:sz w:val="32"/>
          <w:rFonts w:eastAsia="SimHei" w:ascii="SimHei" w:hAnsi="SimHei"/>
        </w:rPr>
        <w:t>1  项目愿景与目标</w:t>
      </w:r>
    </w:p>
    <w:p>
      <w:pPr>
        <w:spacing w:before="0" w:after="120" w:line="312" w:lineRule="auto"/>
        <w:ind w:firstLine="480"/>
        <w:jc w:val="both"/>
      </w:pPr>
      <w:r>
        <w:rPr>
          <w:b w:val="0"/>
          <w:i w:val="0"/>
          <w:color w:val="333333"/>
          <w:sz w:val="24"/>
          <w:rFonts w:eastAsia="Microsoft YaHei" w:ascii="Calibri" w:hAnsi="Calibri"/>
        </w:rPr>
        <w:t>本项目致力于构建一套完整的「端云协同」双层推理数据手套系统，旨在为手语翻译、动作捕捉和人机交互等领域提供高精度、低延迟、低成本的嵌入式人工智能解决方案。系统的核心理念是将轻量级推理任务部署在边缘端（Edge/端侧），而将复杂的时序建模和语义理解任务交由上位机（Upper/上位机）完成，从而实现计算资源的合理分配与系统整体性能的最优化。</w:t>
      </w:r>
    </w:p>
    <w:p>
      <w:pPr>
        <w:spacing w:before="0" w:after="120" w:line="312" w:lineRule="auto"/>
        <w:ind w:firstLine="480"/>
        <w:jc w:val="both"/>
      </w:pPr>
      <w:r>
        <w:rPr>
          <w:b w:val="0"/>
          <w:i w:val="0"/>
          <w:color w:val="333333"/>
          <w:sz w:val="24"/>
          <w:rFonts w:eastAsia="Microsoft YaHei" w:ascii="Calibri" w:hAnsi="Calibri"/>
        </w:rPr>
        <w:t>在前期 MVP（Minimum Viable Product，最小可行产品）阶段，项目采用 Tauri + R3F（React Three Fiber）技术栈实现快速的三维可视化验证。Tauri 作为基于 Rust 的跨平台桌面应用框架，提供了极小的安装包体积和优秀的系统级 API 访问能力，能够直接监听串口和 UDP 数据流；R3F 则将 Three.js 的强大 3D 渲染能力封装为 React 声明式组件，极大地提升了开发效率和可维护性。这一组合能够在数周内完成从传感器数据到 3D 手部可视化的端到端原型验证，为后续高精度渲染奠定坚实基础。</w:t>
      </w:r>
    </w:p>
    <w:p>
      <w:pPr>
        <w:spacing w:before="0" w:after="120" w:line="312" w:lineRule="auto"/>
        <w:ind w:firstLine="480"/>
        <w:jc w:val="both"/>
      </w:pPr>
      <w:r>
        <w:rPr>
          <w:b w:val="0"/>
          <w:i w:val="0"/>
          <w:color w:val="333333"/>
          <w:sz w:val="24"/>
          <w:rFonts w:eastAsia="Microsoft YaHei" w:ascii="Calibri" w:hAnsi="Calibri"/>
        </w:rPr>
        <w:t>在后期高精度阶段，项目将演进至 Unity 2022 LTS + ms-MANO 参数化手部模型方案。Unity 作为业界领先的游戏引擎，提供了成熟的 XR Hands Package 和物理引擎支持；ms-MANO（Multi-Scale MANO）基于 MANO 手部模型，通过 48 维 pose_parameters 参数化控制 21 个关键点的 3D 坐标，能够实现高逼真度的手部渲染和精确的关节运动还原。该方案特别适用于学术论文发表和专业演示场景，能够展示系统在手语翻译精度和视觉自然度方面的卓越表现。</w:t>
      </w:r>
    </w:p>
    <w:p>
      <w:pPr>
        <w:spacing w:before="280" w:after="160" w:line="312" w:lineRule="auto"/>
        <w:jc w:val="left"/>
      </w:pPr>
      <w:r>
        <w:rPr>
          <w:b/>
          <w:color w:val="333333"/>
          <w:sz w:val="28"/>
          <w:rFonts w:eastAsia="SimHei" w:ascii="SimHei" w:hAnsi="SimHei"/>
        </w:rPr>
        <w:t>1.1  五个核心目标</w:t>
      </w:r>
    </w:p>
    <w:p>
      <w:pPr>
        <w:spacing w:before="0" w:after="120" w:line="312" w:lineRule="auto"/>
        <w:ind w:firstLine="480"/>
        <w:jc w:val="both"/>
      </w:pPr>
      <w:r>
        <w:rPr>
          <w:b w:val="0"/>
          <w:i w:val="0"/>
          <w:color w:val="333333"/>
          <w:sz w:val="24"/>
          <w:rFonts w:eastAsia="Microsoft YaHei" w:ascii="Calibri" w:hAnsi="Calibri"/>
        </w:rPr>
        <w:t>本项目围绕以下五个核心目标展开系统性设计与开发工作，每个目标均对应具体的量化指标和验收标准，确保项目成果具有可度量性和可复现性：</w:t>
      </w:r>
    </w:p>
    <w:p>
      <w:pPr>
        <w:spacing w:before="40" w:after="40" w:line="312" w:lineRule="auto"/>
        <w:ind w:left="480" w:hanging="240"/>
        <w:jc w:val="both"/>
      </w:pPr>
      <w:r>
        <w:rPr>
          <w:color w:val="333333"/>
          <w:sz w:val="22"/>
          <w:rFonts w:eastAsia="Microsoft YaHei" w:ascii="Calibri" w:hAnsi="Calibri"/>
        </w:rPr>
        <w:t>• 实时性（Real-time Performance）：端侧 L1 推理延迟控制在 3 毫秒以内，端到端系统延迟（从手势完成到文字输出）控制在 100 毫秒以内。传感器采样频率达到 100Hz，确保能够捕捉手语的快速动态变化。通信层采用 UDP 协议传输实时渲染数据，允许丢包但追求最低延迟。</w:t>
      </w:r>
    </w:p>
    <w:p>
      <w:pPr>
        <w:spacing w:before="40" w:after="40" w:line="312" w:lineRule="auto"/>
        <w:ind w:left="480" w:hanging="240"/>
        <w:jc w:val="both"/>
      </w:pPr>
      <w:r>
        <w:rPr>
          <w:color w:val="333333"/>
          <w:sz w:val="22"/>
          <w:rFonts w:eastAsia="Microsoft YaHei" w:ascii="Calibri" w:hAnsi="Calibri"/>
        </w:rPr>
        <w:t>• 准确性（Accuracy）：L1 边缘模型对 20 类简单手势的 Top-1 准确率不低于 90%；L2 上位机模型对完整 46 类中国手语词汇的 Top-1 准确率不低于 95%、Top-5 准确率不低于 99%。NLP 语法纠错模块的准确率不低于 85%，TTS 语音合成的自然度 MOS（Mean Opinion Score）评分不低于 4.0。</w:t>
      </w:r>
    </w:p>
    <w:p>
      <w:pPr>
        <w:spacing w:before="40" w:after="40" w:line="312" w:lineRule="auto"/>
        <w:ind w:left="480" w:hanging="240"/>
        <w:jc w:val="both"/>
      </w:pPr>
      <w:r>
        <w:rPr>
          <w:color w:val="333333"/>
          <w:sz w:val="22"/>
          <w:rFonts w:eastAsia="Microsoft YaHei" w:ascii="Calibri" w:hAnsi="Calibri"/>
        </w:rPr>
        <w:t>• 低功耗（Low Power Consumption）：通过 FreeRTOS 任务调度优化、传感器休眠策略和 ESP32-S3 的 Light Sleep 模式，目标续航时间超过 12 小时（基于 600mAh 锂电池）。系统平均工作功耗控制在 150mW 以内，待机功耗低于 10mW。</w:t>
      </w:r>
    </w:p>
    <w:p>
      <w:pPr>
        <w:spacing w:before="40" w:after="40" w:line="312" w:lineRule="auto"/>
        <w:ind w:left="480" w:hanging="240"/>
        <w:jc w:val="both"/>
      </w:pPr>
      <w:r>
        <w:rPr>
          <w:color w:val="333333"/>
          <w:sz w:val="22"/>
          <w:rFonts w:eastAsia="Microsoft YaHei" w:ascii="Calibri" w:hAnsi="Calibri"/>
        </w:rPr>
        <w:t>• 可扩展性（Scalability）：软件架构采用模块化设计，HAL 层、信号处理层、推理层、通信层和渲染层之间通过明确定义的接口交互。新增传感器通道（如柔性传感器）仅需修改 HAL 层和特征提取模块，不影响上层推理和通信逻辑。模型支持热更新，可通过 OTA（Over-The-Air）方式推送新模型。</w:t>
      </w:r>
    </w:p>
    <w:p>
      <w:pPr>
        <w:spacing w:before="40" w:after="40" w:line="312" w:lineRule="auto"/>
        <w:ind w:left="480" w:hanging="240"/>
        <w:jc w:val="both"/>
      </w:pPr>
      <w:r>
        <w:rPr>
          <w:color w:val="333333"/>
          <w:sz w:val="22"/>
          <w:rFonts w:eastAsia="Microsoft YaHei" w:ascii="Calibri" w:hAnsi="Calibri"/>
        </w:rPr>
        <w:t>• 成本可控（Cost Control）：单套硬件 BOM（Bill of Materials）成本控制在 $40 以内。核心传感器采用德州仪器（TI）TMAG5273A1 3D 霍尔传感器和博世（Bosch）BNO085 9 轴 IMU，均为成熟量产芯片，供应稳定。PCB 设计采用两层板方案，降低制板成本。</w:t>
      </w:r>
    </w:p>
    <w:p>
      <w:r>
        <w:br w:type="page"/>
      </w:r>
    </w:p>
    <w:p>
      <w:pPr>
        <w:spacing w:before="360" w:after="160" w:line="312" w:lineRule="auto"/>
        <w:jc w:val="left"/>
      </w:pPr>
      <w:r>
        <w:rPr>
          <w:b/>
          <w:color w:val="333333"/>
          <w:sz w:val="32"/>
          <w:rFonts w:eastAsia="SimHei" w:ascii="SimHei" w:hAnsi="SimHei"/>
        </w:rPr>
        <w:t>2  架构决策记录（ADR）</w:t>
      </w:r>
    </w:p>
    <w:p>
      <w:pPr>
        <w:spacing w:before="0" w:after="120" w:line="312" w:lineRule="auto"/>
        <w:ind w:firstLine="480"/>
        <w:jc w:val="both"/>
      </w:pPr>
      <w:r>
        <w:rPr>
          <w:b w:val="0"/>
          <w:i w:val="0"/>
          <w:color w:val="333333"/>
          <w:sz w:val="24"/>
          <w:rFonts w:eastAsia="Microsoft YaHei" w:ascii="Calibri" w:hAnsi="Calibri"/>
        </w:rPr>
        <w:t>架构决策记录（Architecture Decision Records，ADR）是本项目技术治理的核心工具，用于记录每一个关键技术决策的上下文、方案选择、决策理由和后果。以下五个 ADR 涵盖了模型训练策略、图神经网络路线、通信架构演进、渲染技术选型和硬件平台选择等关键领域，是项目后续开发的强制性参考文档。每个 ADR 均经过团队评审确认，后续开发若需变更，必须重新发起 ADR 评审流程。</w:t>
      </w:r>
    </w:p>
    <w:p>
      <w:pPr>
        <w:spacing w:before="280" w:after="160" w:line="312" w:lineRule="auto"/>
        <w:jc w:val="left"/>
      </w:pPr>
      <w:r>
        <w:rPr>
          <w:b/>
          <w:color w:val="333333"/>
          <w:sz w:val="28"/>
          <w:rFonts w:eastAsia="SimHei" w:ascii="SimHei" w:hAnsi="SimHei"/>
        </w:rPr>
        <w:t>2.1  ADR-1：TinyML 双路径策略</w:t>
      </w:r>
    </w:p>
    <w:p>
      <w:pPr>
        <w:spacing w:before="0" w:after="120" w:line="312" w:lineRule="auto"/>
        <w:ind w:firstLine="480"/>
        <w:jc w:val="both"/>
      </w:pPr>
      <w:r>
        <w:rPr>
          <w:b w:val="0"/>
          <w:i w:val="0"/>
          <w:color w:val="333333"/>
          <w:sz w:val="24"/>
          <w:rFonts w:eastAsia="Microsoft YaHei" w:ascii="Calibri" w:hAnsi="Calibri"/>
        </w:rPr>
        <w:t>决策内容：采用双路径 TinyML 开发策略。路径 A 使用 Edge Impulse 平台进行 MVP 快速验证，路径 B 使用 PyTorch 原生训练并导出 TFLite INT8 模型用于论文复现。两条路径并行推进，共享数据采集流水线和传感器驱动代码。</w:t>
      </w:r>
    </w:p>
    <w:p>
      <w:pPr>
        <w:spacing w:before="0" w:after="120" w:line="312" w:lineRule="auto"/>
        <w:ind w:firstLine="480"/>
        <w:jc w:val="both"/>
      </w:pPr>
      <w:r>
        <w:rPr>
          <w:b w:val="0"/>
          <w:i w:val="0"/>
          <w:color w:val="333333"/>
          <w:sz w:val="24"/>
          <w:rFonts w:eastAsia="Microsoft YaHei" w:ascii="Calibri" w:hAnsi="Calibri"/>
        </w:rPr>
        <w:t>决策理由：Edge Impulse 提供了完整的端到端机器学习开发平台，包括数据采集（edge-impulse-data-forwarder）、特征工程自动化、模型训练（支持 1D-CNN）、EON Compiler 优化和 Arduino Library 导出。该平台能够将模型开发周期从数周缩短至数天，非常适合 MVP 阶段的快速迭代验证。然而，Edge Impulse 的模型结构受限于平台提供的模块，无法实现自定义的注意力机制（TemporalAttention）等高级结构，且训练过程的可复现性不足，不适合学术论文发表。</w:t>
      </w:r>
    </w:p>
    <w:p>
      <w:pPr>
        <w:spacing w:before="0" w:after="120" w:line="312" w:lineRule="auto"/>
        <w:ind w:firstLine="480"/>
        <w:jc w:val="both"/>
      </w:pPr>
      <w:r>
        <w:rPr>
          <w:b w:val="0"/>
          <w:i w:val="0"/>
          <w:color w:val="333333"/>
          <w:sz w:val="24"/>
          <w:rFonts w:eastAsia="Microsoft YaHei" w:ascii="Calibri" w:hAnsi="Calibri"/>
        </w:rPr>
        <w:t>因此，论文复现阶段采用 PyTorch 原生训练方案：使用 PyTorch 构建包含 TemporalAttention 模块的 1D-CNN 模型（Eq.11-13），通过 ai_edge_torch 或自定义量化 pipeline 导出 TFLite INT8 模型，最终以 model_data.h 头文件的形式集成到 ESP32-S3 的 TFLite Micro 解释器中。该方案完全可控、可复现，且量化后的模型体积（约 38KB）和推理延迟（&lt;3ms）均满足嵌入式部署要求。</w:t>
      </w:r>
    </w:p>
    <w:p>
      <w:pPr>
        <w:spacing w:before="280" w:after="160" w:line="312" w:lineRule="auto"/>
        <w:jc w:val="left"/>
      </w:pPr>
      <w:r>
        <w:rPr>
          <w:b/>
          <w:color w:val="333333"/>
          <w:sz w:val="28"/>
          <w:rFonts w:eastAsia="SimHei" w:ascii="SimHei" w:hAnsi="SimHei"/>
        </w:rPr>
        <w:t>2.2  ADR-2：ST-GCN 自研路线</w:t>
      </w:r>
    </w:p>
    <w:p>
      <w:pPr>
        <w:spacing w:before="0" w:after="120" w:line="312" w:lineRule="auto"/>
        <w:ind w:firstLine="480"/>
        <w:jc w:val="both"/>
      </w:pPr>
      <w:r>
        <w:rPr>
          <w:b w:val="0"/>
          <w:i w:val="0"/>
          <w:color w:val="333333"/>
          <w:sz w:val="24"/>
          <w:rFonts w:eastAsia="Microsoft YaHei" w:ascii="Calibri" w:hAnsi="Calibri"/>
        </w:rPr>
        <w:t>决策内容：不使用 OpenHands 库，从 MS-GCN3 原始论文（"Multi-Step Graph Convolutional Network for 3D Human Pose Estimation"）自行构建时空图卷积网络（Spatio-Temporal Graph Convolutional Network, ST-GCN）。OpenHands 虽然提供了基于 PyTorch Geometric 的手部图卷积实现，但该库已于 2023 年停止维护，不支持可穿戴传感器数据格式（仅支持 MediaPipe 关键点输入），且其图卷积实现与 MS-GCN3 论文描述存在差异。</w:t>
      </w:r>
    </w:p>
    <w:p>
      <w:pPr>
        <w:spacing w:before="0" w:after="120" w:line="312" w:lineRule="auto"/>
        <w:ind w:firstLine="480"/>
        <w:jc w:val="both"/>
      </w:pPr>
      <w:r>
        <w:rPr>
          <w:b w:val="0"/>
          <w:i w:val="0"/>
          <w:color w:val="333333"/>
          <w:sz w:val="24"/>
          <w:rFonts w:eastAsia="Microsoft YaHei" w:ascii="Calibri" w:hAnsi="Calibri"/>
        </w:rPr>
        <w:t>自研 ST-GCN 包含以下核心组件：第一，伪骨骼映射层（Pseudo-skeleton Mapping, Eq.16），使用线性层将 21 维传感器特征（15 路霍尔 + 6 路 IMU）映射为 21×2D 骨骼关键点坐标，为图卷积提供结构化输入；第二，空间图卷积层（Spatial Graph Convolution），基于手部骨骼拓扑构建邻接矩阵，实现关节间的信息传递；第三，时间卷积层（Temporal Convolution），使用 TCN（Temporal Convolutional Network）捕获手语动作的时序依赖；第四，ST-Conv Block，将空间卷积和时间卷积组合为残差块，通过跳跃连接缓解梯度消失；第五，注意力池化层（Attention Pooling），使用通道注意力机制聚合时序特征，生成最终的手势分类 logits。</w:t>
      </w:r>
    </w:p>
    <w:p>
      <w:pPr>
        <w:spacing w:before="280" w:after="160" w:line="312" w:lineRule="auto"/>
        <w:jc w:val="left"/>
      </w:pPr>
      <w:r>
        <w:rPr>
          <w:b/>
          <w:color w:val="333333"/>
          <w:sz w:val="28"/>
          <w:rFonts w:eastAsia="SimHei" w:ascii="SimHei" w:hAnsi="SimHei"/>
        </w:rPr>
        <w:t>2.3  ADR-3：分阶段通信架构</w:t>
      </w:r>
    </w:p>
    <w:p>
      <w:pPr>
        <w:spacing w:before="0" w:after="120" w:line="312" w:lineRule="auto"/>
        <w:ind w:firstLine="480"/>
        <w:jc w:val="both"/>
      </w:pPr>
      <w:r>
        <w:rPr>
          <w:b w:val="0"/>
          <w:i w:val="0"/>
          <w:color w:val="333333"/>
          <w:sz w:val="24"/>
          <w:rFonts w:eastAsia="Microsoft YaHei" w:ascii="Calibri" w:hAnsi="Calibri"/>
        </w:rPr>
        <w:t>决策内容：采用分阶段通信架构。Phase 1-3（HAL 开发、数据采集、L1 边缘推理）阶段仅使用 BLE 5.0 通信，简化开发复杂度；Phase 4 及之后（L2 上位机推理、3D 渲染）阶段增加 WiFi UDP 用于桌面端的高频率实时数据传输。BLE 在后期阶段退化为配网通道和低速备用通道（20Hz）。</w:t>
      </w:r>
    </w:p>
    <w:p>
      <w:pPr>
        <w:spacing w:before="0" w:after="120" w:line="312" w:lineRule="auto"/>
        <w:ind w:firstLine="480"/>
        <w:jc w:val="both"/>
      </w:pPr>
      <w:r>
        <w:rPr>
          <w:b w:val="0"/>
          <w:i w:val="0"/>
          <w:color w:val="333333"/>
          <w:sz w:val="24"/>
          <w:rFonts w:eastAsia="Microsoft YaHei" w:ascii="Calibri" w:hAnsi="Calibri"/>
        </w:rPr>
        <w:t>决策理由：BLE 5.0 在 ESP32-S3 上的稳定传输带宽约为 50-100 KB/s，足以满足 L1 推理结果（单帧约 50 字节）和低速传感器数据（20Hz × 30 字节 = 600 字节/秒）的传输需求。然而，3D 渲染需要 100Hz 的完整传感器数据流（100Hz × 约 100 字节 = 10 KB/s），虽然带宽上 BLE 勉强可以支撑，但 BLE 的连接稳定性和延迟抖动无法满足实时渲染的严格要求。WiFi UDP 在局域网环境下的延迟通常低于 1ms（对比 BLE 的 20-50ms），且允许丢包的设计理念与实时渲染的容错特性高度契合。因此，Phase 4+ 采用 BLE + WiFi 双通道架构，BLE 负责 WiFi 凭证传输和低速控制指令，WiFi UDP 负责高频传感器数据广播。</w:t>
      </w:r>
    </w:p>
    <w:p>
      <w:pPr>
        <w:spacing w:before="280" w:after="160" w:line="312" w:lineRule="auto"/>
        <w:jc w:val="left"/>
      </w:pPr>
      <w:r>
        <w:rPr>
          <w:b/>
          <w:color w:val="333333"/>
          <w:sz w:val="28"/>
          <w:rFonts w:eastAsia="SimHei" w:ascii="SimHei" w:hAnsi="SimHei"/>
        </w:rPr>
        <w:t>2.4  ADR-4：三阶段渲染演进</w:t>
      </w:r>
    </w:p>
    <w:p>
      <w:pPr>
        <w:spacing w:before="0" w:after="120" w:line="312" w:lineRule="auto"/>
        <w:ind w:firstLine="480"/>
        <w:jc w:val="both"/>
      </w:pPr>
      <w:r>
        <w:rPr>
          <w:b w:val="0"/>
          <w:i w:val="0"/>
          <w:color w:val="333333"/>
          <w:sz w:val="24"/>
          <w:rFonts w:eastAsia="Microsoft YaHei" w:ascii="Calibri" w:hAnsi="Calibri"/>
        </w:rPr>
        <w:t>决策内容：渲染层采用三阶段渐进式演进策略。Phase 2 MVP 阶段使用 Tauri 2.0 + R3F（React Three Fiber）实现跨平台桌面端 3D 渲染，快速验证传感器数据到 3D 手部可视化的完整链路；Phase 2.5 阶段迁移至 Three.js + WebSocket 纯浏览器方案，降低使用门槛（无需安装桌面应用，浏览器直接访问）；Phase 4+ 阶段升级至 Unity 2022 LTS + XR Hands Package + ms-MANO 参数化手部模型，实现高逼真度的专业级渲染。</w:t>
      </w:r>
    </w:p>
    <w:p>
      <w:pPr>
        <w:spacing w:before="0" w:after="120" w:line="312" w:lineRule="auto"/>
        <w:ind w:firstLine="480"/>
        <w:jc w:val="both"/>
      </w:pPr>
      <w:r>
        <w:rPr>
          <w:b w:val="0"/>
          <w:i w:val="0"/>
          <w:color w:val="333333"/>
          <w:sz w:val="24"/>
          <w:rFonts w:eastAsia="Microsoft YaHei" w:ascii="Calibri" w:hAnsi="Calibri"/>
        </w:rPr>
        <w:t>决策理由：三阶段策略的核心思想是「先用最低成本验证核心链路，再逐步提升视觉品质」。Tauri + R3F 方案的开发周期约为 2-3 周，包体积约 10MB，能够快速验证数据手套的完整工作流。Three.js + WebSocket 方案进一步降低了部署门槛，适合演示和远程访问场景。Unity + ms-MANO 方案虽然开发周期较长（约 6-8 周），但能提供照片级的视觉品质和精确的关节控制，是论文发表和产品化的最终形态。三个阶段的 3D 骨骼定义和关节旋转接口保持一致，确保渲染层的平滑演进。</w:t>
      </w:r>
    </w:p>
    <w:p>
      <w:pPr>
        <w:spacing w:before="280" w:after="160" w:line="312" w:lineRule="auto"/>
        <w:jc w:val="left"/>
      </w:pPr>
      <w:r>
        <w:rPr>
          <w:b/>
          <w:color w:val="333333"/>
          <w:sz w:val="28"/>
          <w:rFonts w:eastAsia="SimHei" w:ascii="SimHei" w:hAnsi="SimHei"/>
        </w:rPr>
        <w:t>2.5  ADR-5：硬件平台保持</w:t>
      </w:r>
    </w:p>
    <w:p>
      <w:pPr>
        <w:spacing w:before="0" w:after="120" w:line="312" w:lineRule="auto"/>
        <w:ind w:firstLine="480"/>
        <w:jc w:val="both"/>
      </w:pPr>
      <w:r>
        <w:rPr>
          <w:b w:val="0"/>
          <w:i w:val="0"/>
          <w:color w:val="333333"/>
          <w:sz w:val="24"/>
          <w:rFonts w:eastAsia="Microsoft YaHei" w:ascii="Calibri" w:hAnsi="Calibri"/>
        </w:rPr>
        <w:t>决策内容：继续使用 ESP32-S3-DevKitC-1 N16R8 作为主控 MCU，不切换到 Seeed Studio XIAO ESP32S3。该决策经过详细的硬件参数对比和实际测试验证，具有充分的技术依据。</w:t>
      </w:r>
    </w:p>
    <w:p>
      <w:pPr>
        <w:spacing w:before="0" w:after="120" w:line="312" w:lineRule="auto"/>
        <w:ind w:firstLine="480"/>
        <w:jc w:val="both"/>
      </w:pPr>
      <w:r>
        <w:rPr>
          <w:b w:val="0"/>
          <w:i w:val="0"/>
          <w:color w:val="333333"/>
          <w:sz w:val="24"/>
          <w:rFonts w:eastAsia="Microsoft YaHei" w:ascii="Calibri" w:hAnsi="Calibri"/>
        </w:rPr>
        <w:t>决策理由：DevKitC-1 配备 16MB Octal PSRAM（N16R8 型号中的 N8 代表 8MB Flash，R8 代表 8MB PSRAM，总计 16MB PSRAM），对 TFLite Micro 模型推理和传感器数据缓冲至关重要。实际测试表明，ST-GCN 模型的中间激活值（activation）需要约 2-3MB 的运行时内存，加上传感器环形缓冲区（30 帧 × 21 特征 × 4 字节 = 约 2.5KB）和 Protobuf 序列化缓冲区，系统峰值内存占用约为 4-5MB，远超 XIAO ESP32S3 的 8MB PSRAM 可用空间（考虑系统开销后实际可用约 5-6MB）。此外，DevKitC-1 的 PCB 布局已经过验证，I2C 总线的信号完整性和天线性能均满足设计要求，切换平台需要重新设计 PCB，增加项目风险和成本。</w:t>
      </w:r>
    </w:p>
    <w:p>
      <w:r>
        <w:br w:type="page"/>
      </w:r>
    </w:p>
    <w:p>
      <w:pPr>
        <w:spacing w:before="360" w:after="160" w:line="312" w:lineRule="auto"/>
        <w:jc w:val="left"/>
      </w:pPr>
      <w:r>
        <w:rPr>
          <w:b/>
          <w:color w:val="333333"/>
          <w:sz w:val="32"/>
          <w:rFonts w:eastAsia="SimHei" w:ascii="SimHei" w:hAnsi="SimHei"/>
        </w:rPr>
        <w:t>3  系统架构总览</w:t>
      </w:r>
    </w:p>
    <w:p>
      <w:pPr>
        <w:spacing w:before="0" w:after="120" w:line="312" w:lineRule="auto"/>
        <w:ind w:firstLine="480"/>
        <w:jc w:val="both"/>
      </w:pPr>
      <w:r>
        <w:rPr>
          <w:b w:val="0"/>
          <w:i w:val="0"/>
          <w:color w:val="333333"/>
          <w:sz w:val="24"/>
          <w:rFonts w:eastAsia="Microsoft YaHei" w:ascii="Calibri" w:hAnsi="Calibri"/>
        </w:rPr>
        <w:t>本章节从硬件架构、软件栈、双层推理架构和分阶段通信架构四个维度，全面描述 Edge AI 数据手套系统的技术架构。系统采用分层解耦的设计原则，各层之间通过明确定义的接口交互，确保模块的可替换性和系统的可维护性。硬件层负责传感器数据采集和底层通信，软件层负责信号处理、模型推理和应用逻辑，推理层负责手势识别，通信层负责数据传输，渲染层负责 3D 可视化。这种分层架构使得每一层都可以独立开发和测试，大大降低了系统集成的风险。</w:t>
      </w:r>
    </w:p>
    <w:p>
      <w:pPr>
        <w:spacing w:before="280" w:after="160" w:line="312" w:lineRule="auto"/>
        <w:jc w:val="left"/>
      </w:pPr>
      <w:r>
        <w:rPr>
          <w:b/>
          <w:color w:val="333333"/>
          <w:sz w:val="28"/>
          <w:rFonts w:eastAsia="SimHei" w:ascii="SimHei" w:hAnsi="SimHei"/>
        </w:rPr>
        <w:t>3.1  硬件架构</w:t>
      </w:r>
    </w:p>
    <w:p>
      <w:pPr>
        <w:spacing w:before="0" w:after="120" w:line="312" w:lineRule="auto"/>
        <w:ind w:firstLine="480"/>
        <w:jc w:val="both"/>
      </w:pPr>
      <w:r>
        <w:rPr>
          <w:b w:val="0"/>
          <w:i w:val="0"/>
          <w:color w:val="333333"/>
          <w:sz w:val="24"/>
          <w:rFonts w:eastAsia="Microsoft YaHei" w:ascii="Calibri" w:hAnsi="Calibri"/>
        </w:rPr>
        <w:t>系统硬件以 ESP32-S3-DevKitC-1 N16R8 为核心控制器，该芯片采用台积电 40nm 工艺制造，搭载双核 Xtensa LX7 处理器（主频 240MHz），内置 512KB SRAM 和 AI 向量扩展指令集（支持 INT8 乘加运算加速），是乐鑫科技专为 AIoT 场景设计的旗舰级 MCU。N16R8 型号配备 8MB Flash 和 8MB Octal PSRAM，Flash 用于存储固件代码和模型权重，PSRAM 用于运行时数据缓冲和模型推理的中间结果存储。</w:t>
      </w:r>
    </w:p>
    <w:p>
      <w:pPr>
        <w:spacing w:before="0" w:after="120" w:line="312" w:lineRule="auto"/>
        <w:ind w:firstLine="480"/>
        <w:jc w:val="both"/>
      </w:pPr>
      <w:r>
        <w:rPr>
          <w:b w:val="0"/>
          <w:i w:val="0"/>
          <w:color w:val="333333"/>
          <w:sz w:val="24"/>
          <w:rFonts w:eastAsia="Microsoft YaHei" w:ascii="Calibri" w:hAnsi="Calibri"/>
        </w:rPr>
        <w:t>传感器模块包含三个部分：第一，5 颗德州仪器 TMAG5273A1 3D 霍尔传感器（I2C 接口），分别安装在拇指、食指、中指、无名指和小指的近端指间关节（PIP）位置，用于检测手指弯曲角度。每颗传感器输出 3 轴磁场强度数据（X/Y/Z，12-bit 分辨率），量程 ±40mT，通过 Set/Reset 触发模式实现温度漂移补偿。5 颗传感器通过 TCA9548A I2C 多路复用器共享同一 I2C 总线，I2C 地址均为 0x22（通过 TCA9548A 的通道 0-4 分别访问）。第二，1 颗博世 BNO085 9 轴 IMU（I2C 接口），安装在手套腕部位置，集成三轴加速度计、三轴陀螺仪和三轴磁力计，并通过内置的 SensorHub 处理器实现硬件级传感器融合，直接输出游戏级旋转四元数（Game Rotation Vector，无地磁影响），输出频率 100Hz。第三，TCA9548A I2C 多路复用器（地址 0x70），负责在 5 路 TMAG5273 之间切换，解决 I2C 地址冲突问题。</w:t>
      </w:r>
    </w:p>
    <w:p>
      <w:pPr>
        <w:spacing w:before="0" w:after="120" w:line="312" w:lineRule="auto"/>
        <w:ind w:firstLine="480"/>
        <w:jc w:val="both"/>
      </w:pPr>
      <w:r>
        <w:rPr>
          <w:b w:val="0"/>
          <w:i w:val="0"/>
          <w:color w:val="333333"/>
          <w:sz w:val="24"/>
          <w:rFonts w:eastAsia="Microsoft YaHei" w:ascii="Calibri" w:hAnsi="Calibri"/>
        </w:rPr>
        <w:t>系统还预留了 5 路 ADC 通道（GPIO 4、5、6、7、15），用于未来扩展柔性弯曲传感器（Flex Sensor）。I2C 总线运行在 400kHz Fast Mode，主总线上拉电阻为 2.2kΩ，TCA9548A 子通道上拉电阻为 4.7kΩ，确保信号完整性。实际 BOM 成本约为 $38.60（含 DevKitC-1 开发板、传感器模块、电池、PCB 和外壳），远高于论文声称的 $18（该价格为批量采购裸片价格，不含 PCB 和组装成本）。</w:t>
      </w:r>
    </w:p>
    <w:p>
      <w:pPr>
        <w:spacing w:before="280" w:after="160" w:line="312" w:lineRule="auto"/>
        <w:jc w:val="left"/>
      </w:pPr>
      <w:r>
        <w:rPr>
          <w:b/>
          <w:color w:val="333333"/>
          <w:sz w:val="26"/>
          <w:rFonts w:eastAsia="SimHei" w:ascii="SimHei" w:hAnsi="SimHei"/>
        </w:rPr>
        <w:t>3.1.1  核心 BOM 清单</w:t>
      </w:r>
    </w:p>
    <w:tbl>
      <w:tblPr>
        <w:tblW w:type="auto" w:w="0"/>
        <w:jc w:val="center"/>
        <w:tblLayout w:type="autofit"/>
        <w:tblLook w:firstColumn="1" w:firstRow="1" w:lastColumn="0" w:lastRow="0" w:noHBand="0" w:noVBand="1" w:val="04A0"/>
      </w:tblPr>
      <w:tblGrid>
        <w:gridCol w:w="1758"/>
        <w:gridCol w:w="1758"/>
        <w:gridCol w:w="1758"/>
        <w:gridCol w:w="1758"/>
        <w:gridCol w:w="1758"/>
      </w:tblGrid>
      <w:tr>
        <w:tc>
          <w:tcPr>
            <w:tcW w:type="dxa" w:w="1758"/>
            <w:vAlign w:val="center"/>
            <w:shd w:fill="1A2330"/>
            <w:tcBorders>
              <w:top w:val="single" w:sz="4" w:space="0" w:color="1A2330"/>
              <w:bottom w:val="single" w:sz="4" w:space="0" w:color="1A2330"/>
              <w:left w:val="single" w:sz="4" w:space="0" w:color="1A2330"/>
              <w:right w:val="single" w:sz="4" w:space="0" w:color="1A2330"/>
            </w:tcBorders>
          </w:tcPr>
          <w:p>
            <w:pPr>
              <w:jc w:val="center"/>
            </w:pPr>
            <w:r/>
            <w:r>
              <w:rPr>
                <w:b/>
                <w:color w:val="FFFFFF"/>
                <w:sz w:val="20"/>
              </w:rPr>
              <w:t>组件</w:t>
            </w:r>
          </w:p>
        </w:tc>
        <w:tc>
          <w:tcPr>
            <w:tcW w:type="dxa" w:w="1758"/>
            <w:vAlign w:val="center"/>
            <w:shd w:fill="1A2330"/>
            <w:tcBorders>
              <w:top w:val="single" w:sz="4" w:space="0" w:color="1A2330"/>
              <w:bottom w:val="single" w:sz="4" w:space="0" w:color="1A2330"/>
              <w:left w:val="single" w:sz="4" w:space="0" w:color="1A2330"/>
              <w:right w:val="single" w:sz="4" w:space="0" w:color="1A2330"/>
            </w:tcBorders>
          </w:tcPr>
          <w:p>
            <w:pPr>
              <w:jc w:val="center"/>
            </w:pPr>
            <w:r/>
            <w:r>
              <w:rPr>
                <w:b/>
                <w:color w:val="FFFFFF"/>
                <w:sz w:val="20"/>
              </w:rPr>
              <w:t>型号</w:t>
            </w:r>
          </w:p>
        </w:tc>
        <w:tc>
          <w:tcPr>
            <w:tcW w:type="dxa" w:w="1758"/>
            <w:vAlign w:val="center"/>
            <w:shd w:fill="1A2330"/>
            <w:tcBorders>
              <w:top w:val="single" w:sz="4" w:space="0" w:color="1A2330"/>
              <w:bottom w:val="single" w:sz="4" w:space="0" w:color="1A2330"/>
              <w:left w:val="single" w:sz="4" w:space="0" w:color="1A2330"/>
              <w:right w:val="single" w:sz="4" w:space="0" w:color="1A2330"/>
            </w:tcBorders>
          </w:tcPr>
          <w:p>
            <w:pPr>
              <w:jc w:val="center"/>
            </w:pPr>
            <w:r/>
            <w:r>
              <w:rPr>
                <w:b/>
                <w:color w:val="FFFFFF"/>
                <w:sz w:val="20"/>
              </w:rPr>
              <w:t>数量</w:t>
            </w:r>
          </w:p>
        </w:tc>
        <w:tc>
          <w:tcPr>
            <w:tcW w:type="dxa" w:w="1758"/>
            <w:vAlign w:val="center"/>
            <w:shd w:fill="1A2330"/>
            <w:tcBorders>
              <w:top w:val="single" w:sz="4" w:space="0" w:color="1A2330"/>
              <w:bottom w:val="single" w:sz="4" w:space="0" w:color="1A2330"/>
              <w:left w:val="single" w:sz="4" w:space="0" w:color="1A2330"/>
              <w:right w:val="single" w:sz="4" w:space="0" w:color="1A2330"/>
            </w:tcBorders>
          </w:tcPr>
          <w:p>
            <w:pPr>
              <w:jc w:val="center"/>
            </w:pPr>
            <w:r/>
            <w:r>
              <w:rPr>
                <w:b/>
                <w:color w:val="FFFFFF"/>
                <w:sz w:val="20"/>
              </w:rPr>
              <w:t>单价(USD)</w:t>
            </w:r>
          </w:p>
        </w:tc>
        <w:tc>
          <w:tcPr>
            <w:tcW w:type="dxa" w:w="1758"/>
            <w:vAlign w:val="center"/>
            <w:shd w:fill="1A2330"/>
            <w:tcBorders>
              <w:top w:val="single" w:sz="4" w:space="0" w:color="1A2330"/>
              <w:bottom w:val="single" w:sz="4" w:space="0" w:color="1A2330"/>
              <w:left w:val="single" w:sz="4" w:space="0" w:color="1A2330"/>
              <w:right w:val="single" w:sz="4" w:space="0" w:color="1A2330"/>
            </w:tcBorders>
          </w:tcPr>
          <w:p>
            <w:pPr>
              <w:jc w:val="center"/>
            </w:pPr>
            <w:r/>
            <w:r>
              <w:rPr>
                <w:b/>
                <w:color w:val="FFFFFF"/>
                <w:sz w:val="20"/>
              </w:rPr>
              <w:t>备注</w:t>
            </w:r>
          </w:p>
        </w:tc>
      </w:tr>
      <w:tr>
        <w:tc>
          <w:tcPr>
            <w:tcW w:type="dxa" w:w="1758"/>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MCU 开发板</w:t>
            </w:r>
          </w:p>
        </w:tc>
        <w:tc>
          <w:tcPr>
            <w:tcW w:type="dxa" w:w="1758"/>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ESP32-S3-DevKitC-1 N16R8</w:t>
            </w:r>
          </w:p>
        </w:tc>
        <w:tc>
          <w:tcPr>
            <w:tcW w:type="dxa" w:w="1758"/>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1</w:t>
            </w:r>
          </w:p>
        </w:tc>
        <w:tc>
          <w:tcPr>
            <w:tcW w:type="dxa" w:w="1758"/>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$13.50</w:t>
            </w:r>
          </w:p>
        </w:tc>
        <w:tc>
          <w:tcPr>
            <w:tcW w:type="dxa" w:w="1758"/>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双核240MHz, 8MB PSRAM</w:t>
            </w:r>
          </w:p>
        </w:tc>
      </w:tr>
      <w:tr>
        <w:tc>
          <w:tcPr>
            <w:tcW w:type="dxa" w:w="1758"/>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3D霍尔传感器</w:t>
            </w:r>
          </w:p>
        </w:tc>
        <w:tc>
          <w:tcPr>
            <w:tcW w:type="dxa" w:w="1758"/>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TMAG5273A1</w:t>
            </w:r>
          </w:p>
        </w:tc>
        <w:tc>
          <w:tcPr>
            <w:tcW w:type="dxa" w:w="1758"/>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5</w:t>
            </w:r>
          </w:p>
        </w:tc>
        <w:tc>
          <w:tcPr>
            <w:tcW w:type="dxa" w:w="1758"/>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$2.80</w:t>
            </w:r>
          </w:p>
        </w:tc>
        <w:tc>
          <w:tcPr>
            <w:tcW w:type="dxa" w:w="1758"/>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I2C, 12-bit, ±40mT</w:t>
            </w:r>
          </w:p>
        </w:tc>
      </w:tr>
      <w:tr>
        <w:tc>
          <w:tcPr>
            <w:tcW w:type="dxa" w:w="1758"/>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9轴IMU</w:t>
            </w:r>
          </w:p>
        </w:tc>
        <w:tc>
          <w:tcPr>
            <w:tcW w:type="dxa" w:w="1758"/>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BNO085</w:t>
            </w:r>
          </w:p>
        </w:tc>
        <w:tc>
          <w:tcPr>
            <w:tcW w:type="dxa" w:w="1758"/>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1</w:t>
            </w:r>
          </w:p>
        </w:tc>
        <w:tc>
          <w:tcPr>
            <w:tcW w:type="dxa" w:w="1758"/>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$9.50</w:t>
            </w:r>
          </w:p>
        </w:tc>
        <w:tc>
          <w:tcPr>
            <w:tcW w:type="dxa" w:w="1758"/>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硬件四元数融合</w:t>
            </w:r>
          </w:p>
        </w:tc>
      </w:tr>
      <w:tr>
        <w:tc>
          <w:tcPr>
            <w:tcW w:type="dxa" w:w="1758"/>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I2C多路复用器</w:t>
            </w:r>
          </w:p>
        </w:tc>
        <w:tc>
          <w:tcPr>
            <w:tcW w:type="dxa" w:w="1758"/>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TCA9548A</w:t>
            </w:r>
          </w:p>
        </w:tc>
        <w:tc>
          <w:tcPr>
            <w:tcW w:type="dxa" w:w="1758"/>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1</w:t>
            </w:r>
          </w:p>
        </w:tc>
        <w:tc>
          <w:tcPr>
            <w:tcW w:type="dxa" w:w="1758"/>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$0.85</w:t>
            </w:r>
          </w:p>
        </w:tc>
        <w:tc>
          <w:tcPr>
            <w:tcW w:type="dxa" w:w="1758"/>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8通道</w:t>
            </w:r>
          </w:p>
        </w:tc>
      </w:tr>
      <w:tr>
        <w:tc>
          <w:tcPr>
            <w:tcW w:type="dxa" w:w="1758"/>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锂电池</w:t>
            </w:r>
          </w:p>
        </w:tc>
        <w:tc>
          <w:tcPr>
            <w:tcW w:type="dxa" w:w="1758"/>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600mAh 3.7V</w:t>
            </w:r>
          </w:p>
        </w:tc>
        <w:tc>
          <w:tcPr>
            <w:tcW w:type="dxa" w:w="1758"/>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1</w:t>
            </w:r>
          </w:p>
        </w:tc>
        <w:tc>
          <w:tcPr>
            <w:tcW w:type="dxa" w:w="1758"/>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$3.50</w:t>
            </w:r>
          </w:p>
        </w:tc>
        <w:tc>
          <w:tcPr>
            <w:tcW w:type="dxa" w:w="1758"/>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JST-PH接口</w:t>
            </w:r>
          </w:p>
        </w:tc>
      </w:tr>
      <w:tr>
        <w:tc>
          <w:tcPr>
            <w:tcW w:type="dxa" w:w="1758"/>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PCB+外壳</w:t>
            </w:r>
          </w:p>
        </w:tc>
        <w:tc>
          <w:tcPr>
            <w:tcW w:type="dxa" w:w="1758"/>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定制</w:t>
            </w:r>
          </w:p>
        </w:tc>
        <w:tc>
          <w:tcPr>
            <w:tcW w:type="dxa" w:w="1758"/>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1</w:t>
            </w:r>
          </w:p>
        </w:tc>
        <w:tc>
          <w:tcPr>
            <w:tcW w:type="dxa" w:w="1758"/>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$5.00</w:t>
            </w:r>
          </w:p>
        </w:tc>
        <w:tc>
          <w:tcPr>
            <w:tcW w:type="dxa" w:w="1758"/>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两层板, 3D打印外壳</w:t>
            </w:r>
          </w:p>
        </w:tc>
      </w:tr>
      <w:tr>
        <w:tc>
          <w:tcPr>
            <w:tcW w:type="dxa" w:w="1758"/>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其他(电阻/电容/连接器)</w:t>
            </w:r>
          </w:p>
        </w:tc>
        <w:tc>
          <w:tcPr>
            <w:tcW w:type="dxa" w:w="1758"/>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w:t>
            </w:r>
          </w:p>
        </w:tc>
        <w:tc>
          <w:tcPr>
            <w:tcW w:type="dxa" w:w="1758"/>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w:t>
            </w:r>
          </w:p>
        </w:tc>
        <w:tc>
          <w:tcPr>
            <w:tcW w:type="dxa" w:w="1758"/>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$3.45</w:t>
            </w:r>
          </w:p>
        </w:tc>
        <w:tc>
          <w:tcPr>
            <w:tcW w:type="dxa" w:w="1758"/>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上拉电阻, 排线等</w:t>
            </w:r>
          </w:p>
        </w:tc>
      </w:tr>
    </w:tbl>
    <w:p>
      <w:pPr>
        <w:spacing w:before="80"/>
      </w:pPr>
      <w:r>
        <w:rPr>
          <w:b/>
          <w:color w:val="D4875A"/>
          <w:sz w:val="20"/>
        </w:rPr>
        <w:t>合计：约 $38.60</w:t>
      </w:r>
    </w:p>
    <w:p>
      <w:pPr>
        <w:spacing w:before="280" w:after="160" w:line="312" w:lineRule="auto"/>
        <w:jc w:val="left"/>
      </w:pPr>
      <w:r>
        <w:rPr>
          <w:b/>
          <w:color w:val="333333"/>
          <w:sz w:val="28"/>
          <w:rFonts w:eastAsia="SimHei" w:ascii="SimHei" w:hAnsi="SimHei"/>
        </w:rPr>
        <w:t>3.2  软件栈</w:t>
      </w:r>
    </w:p>
    <w:p>
      <w:pPr>
        <w:spacing w:before="0" w:after="120" w:line="312" w:lineRule="auto"/>
        <w:ind w:firstLine="480"/>
        <w:jc w:val="both"/>
      </w:pPr>
      <w:r>
        <w:rPr>
          <w:b w:val="0"/>
          <w:i w:val="0"/>
          <w:color w:val="333333"/>
          <w:sz w:val="24"/>
          <w:rFonts w:eastAsia="Microsoft YaHei" w:ascii="Calibri" w:hAnsi="Calibri"/>
        </w:rPr>
        <w:t>系统软件栈分为三个主要层次：嵌入式层、上位机 AI 层和渲染层。嵌入式层基于 PlatformIO + Arduino 框架开发，运行 FreeRTOS 实时操作系统，使用 Nanopb（Protocol Buffers 的 Nano 版本）进行数据序列化，集成 TFLite Micro 推理引擎。PlatformIO 提供了强大的构建系统和依赖管理能力，支持 ESP32-S3 的 AI 向量指令集自动优化。FreeRTOS 负责任务调度和资源管理，确保传感器采样、模型推理和通信传输三个核心任务能够并行执行且互不干扰。</w:t>
      </w:r>
    </w:p>
    <w:p>
      <w:pPr>
        <w:spacing w:before="0" w:after="120" w:line="312" w:lineRule="auto"/>
        <w:ind w:firstLine="480"/>
        <w:jc w:val="both"/>
      </w:pPr>
      <w:r>
        <w:rPr>
          <w:b w:val="0"/>
          <w:i w:val="0"/>
          <w:color w:val="333333"/>
          <w:sz w:val="24"/>
          <w:rFonts w:eastAsia="Microsoft YaHei" w:ascii="Calibri" w:hAnsi="Calibri"/>
        </w:rPr>
        <w:t>上位机 AI 层基于 Python 3.9+ 开发，使用 PyTorch 作为深度学习框架，自研 ST-GCN 模型用于 L2 上位机推理。数据预处理流水线包含卡尔曼滤波、Min-Max 归一化和滑动窗口缓冲。语音合成采用微软的 edge-tts 库，该库完全免费且无需 API 密钥，支持多种中文语音（zh-CN-XiaoxiaoNeural 女声、zh-CN-YunxiNeural 男声），音质自然流畅。NLP 语法纠错模块初期基于规则库实现，后期可升级为轻量级 Transformer 模型。</w:t>
      </w:r>
    </w:p>
    <w:p>
      <w:pPr>
        <w:spacing w:before="0" w:after="120" w:line="312" w:lineRule="auto"/>
        <w:ind w:firstLine="480"/>
        <w:jc w:val="both"/>
      </w:pPr>
      <w:r>
        <w:rPr>
          <w:b w:val="0"/>
          <w:i w:val="0"/>
          <w:color w:val="333333"/>
          <w:sz w:val="24"/>
          <w:rFonts w:eastAsia="Microsoft YaHei" w:ascii="Calibri" w:hAnsi="Calibri"/>
        </w:rPr>
        <w:t>渲染层按照三阶段演进策略实现：Phase 2 MVP 使用 Tauri 2.0 + React + R3F（React Three Fiber）+ Zustand + TailwindCSS 技术栈，Rust 后端负责监听 BLE 串口和 UDP 数据流、解析 Protobuf 消息；Phase 2.5 迁移至 Three.js + WebSocket 纯浏览器方案；Phase 4+ 升级至 Unity 2022.3 LTS + XR Hands Package + ms-MANO 参数化手部模型。三个阶段的 3D 骨骼定义保持兼容，确保平滑演进。</w:t>
      </w:r>
    </w:p>
    <w:p>
      <w:pPr>
        <w:spacing w:before="280" w:after="160" w:line="312" w:lineRule="auto"/>
        <w:jc w:val="left"/>
      </w:pPr>
      <w:r>
        <w:rPr>
          <w:b/>
          <w:color w:val="333333"/>
          <w:sz w:val="28"/>
          <w:rFonts w:eastAsia="SimHei" w:ascii="SimHei" w:hAnsi="SimHei"/>
        </w:rPr>
        <w:t>3.3  双层推理架构</w:t>
      </w:r>
    </w:p>
    <w:p>
      <w:pPr>
        <w:spacing w:before="0" w:after="120" w:line="312" w:lineRule="auto"/>
        <w:ind w:firstLine="480"/>
        <w:jc w:val="both"/>
      </w:pPr>
      <w:r>
        <w:rPr>
          <w:b w:val="0"/>
          <w:i w:val="0"/>
          <w:color w:val="333333"/>
          <w:sz w:val="24"/>
          <w:rFonts w:eastAsia="Microsoft YaHei" w:ascii="Calibri" w:hAnsi="Calibri"/>
        </w:rPr>
        <w:t>双层推理架构是本系统最具创新性的设计之一。L1 层（Edge/端侧推理）运行在 ESP32-S3 上，采用轻量级 1D-CNN + TemporalAttention 模型，总参数量约 34K（INT8 量化后约 38KB），推理延迟低于 3ms。L1 模型的输入为 30 帧 × 21 维特征的滑动窗口（630 维），输出为 46 类手势的分类概率。L1 模型的核心优势在于超低延迟和离线可用性——即使在 BLE/WiFi 断连的情况下，数据手套仍能独立完成基本手势识别。</w:t>
      </w:r>
    </w:p>
    <w:p>
      <w:pPr>
        <w:spacing w:before="0" w:after="120" w:line="312" w:lineRule="auto"/>
        <w:ind w:firstLine="480"/>
        <w:jc w:val="both"/>
      </w:pPr>
      <w:r>
        <w:rPr>
          <w:b w:val="0"/>
          <w:i w:val="0"/>
          <w:color w:val="333333"/>
          <w:sz w:val="24"/>
          <w:rFonts w:eastAsia="Microsoft YaHei" w:ascii="Calibri" w:hAnsi="Calibri"/>
        </w:rPr>
        <w:t>L2 层（Upper/上位机推理）运行在 PC 上，采用自研 ST-GCN 模型处理动态手语序列。L2 模型接收完整的时序传感器数据流，通过伪骨骼映射层将 21 维传感器特征转换为 21×2D 骨骼关键点坐标，然后经过多层 ST-Conv Block 提取时空特征，最终通过注意力池化层生成手势分类结果。L2 模型的参数量和计算量远大于 L1，但得益于 GPU 加速，推理延迟仍可控制在 20ms 以内。</w:t>
      </w:r>
    </w:p>
    <w:p>
      <w:pPr>
        <w:spacing w:before="0" w:after="120" w:line="312" w:lineRule="auto"/>
        <w:ind w:firstLine="480"/>
        <w:jc w:val="both"/>
      </w:pPr>
      <w:r>
        <w:rPr>
          <w:b w:val="0"/>
          <w:i w:val="0"/>
          <w:color w:val="333333"/>
          <w:sz w:val="24"/>
          <w:rFonts w:eastAsia="Microsoft YaHei" w:ascii="Calibri" w:hAnsi="Calibri"/>
        </w:rPr>
        <w:t>双层推理的核心逻辑是置信度驱动的智能分流：当 L1 模型的输出置信度超过 0.85 时，直接输出手势 ID 和中文名称，无需 L2 参与，从而最小化端到端延迟；当 L1 置信度低于或等于 0.85 时，标记为 UNKNOWN，同时将当前滑动窗口的原始传感器数据通过 BLE/WiFi 转发至上位机，触发 L2 推理。这种设计在保证识别准确率的同时，最大限度地利用了边缘端的计算能力，减少了不必要的通信和上位机计算开销。</w:t>
      </w:r>
    </w:p>
    <w:p>
      <w:pPr>
        <w:spacing w:before="280" w:after="160" w:line="312" w:lineRule="auto"/>
        <w:jc w:val="left"/>
      </w:pPr>
      <w:r>
        <w:rPr>
          <w:b/>
          <w:color w:val="333333"/>
          <w:sz w:val="28"/>
          <w:rFonts w:eastAsia="SimHei" w:ascii="SimHei" w:hAnsi="SimHei"/>
        </w:rPr>
        <w:t>3.4  分阶段通信架构</w:t>
      </w:r>
    </w:p>
    <w:p>
      <w:pPr>
        <w:spacing w:before="0" w:after="120" w:line="312" w:lineRule="auto"/>
        <w:ind w:firstLine="480"/>
        <w:jc w:val="both"/>
      </w:pPr>
      <w:r>
        <w:rPr>
          <w:b w:val="0"/>
          <w:i w:val="0"/>
          <w:color w:val="333333"/>
          <w:sz w:val="24"/>
          <w:rFonts w:eastAsia="Microsoft YaHei" w:ascii="Calibri" w:hAnsi="Calibri"/>
        </w:rPr>
        <w:t>通信架构按照项目阶段渐进式演进。Phase 1-3（HAL 开发、数据采集、L1 边缘推理）阶段，系统仅使用 BLE 5.0 通信。BLE GATT 服务提供两个主要功能：配网服务（接收上位机发送的 WiFi SSID 和 Password，存储到 NVS 分区）和数据广播服务（通过 Notification 方式向已连接的客户端推送传感器数据或推理结果）。此外，ESP32-S3 同时通过串口输出 CSV 格式的传感器数据，供 edge-impulse-data-forwarder 工具采集，该工具会将 CSV 数据自动上传至 Edge Impulse 云端进行模型训练。</w:t>
      </w:r>
    </w:p>
    <w:p>
      <w:pPr>
        <w:spacing w:before="0" w:after="120" w:line="312" w:lineRule="auto"/>
        <w:ind w:firstLine="480"/>
        <w:jc w:val="both"/>
      </w:pPr>
      <w:r>
        <w:rPr>
          <w:b w:val="0"/>
          <w:i w:val="0"/>
          <w:color w:val="333333"/>
          <w:sz w:val="24"/>
          <w:rFonts w:eastAsia="Microsoft YaHei" w:ascii="Calibri" w:hAnsi="Calibri"/>
        </w:rPr>
        <w:t>Phase 4 及之后的阶段，系统增加 WiFi UDP 通信通道。WiFi UDP 目标端口为 8888，发送频率 100Hz，每帧数据使用 Protobuf 序列化（GloveData 消息，包含时间戳、15 路霍尔特征、6 路 IMU 特征、5 路柔性传感器特征（预留）、L1 手势 ID 和 L1 置信度）。UDP 协议的无连接、允许丢包特性与实时渲染的容错需求高度契合——偶发的丢帧不会影响渲染的连续性，但可以换取更低的传输延迟（局域网内通常低于 1ms）。BLE 在此阶段退化为配网通道和低速备用通道（20Hz），用于 WiFi 不可用时的降级通信。</w:t>
      </w:r>
    </w:p>
    <w:p>
      <w:r>
        <w:br w:type="page"/>
      </w:r>
    </w:p>
    <w:p>
      <w:pPr>
        <w:spacing w:before="360" w:after="160" w:line="312" w:lineRule="auto"/>
        <w:jc w:val="left"/>
      </w:pPr>
      <w:r>
        <w:rPr>
          <w:b/>
          <w:color w:val="333333"/>
          <w:sz w:val="32"/>
          <w:rFonts w:eastAsia="SimHei" w:ascii="SimHei" w:hAnsi="SimHei"/>
        </w:rPr>
        <w:t>4  Phase 1：HAL与驱动层开发</w:t>
      </w:r>
    </w:p>
    <w:p>
      <w:pPr>
        <w:spacing w:before="0" w:after="120" w:line="312" w:lineRule="auto"/>
        <w:ind w:firstLine="480"/>
        <w:jc w:val="both"/>
      </w:pPr>
      <w:r>
        <w:rPr>
          <w:b w:val="0"/>
          <w:i w:val="0"/>
          <w:color w:val="333333"/>
          <w:sz w:val="24"/>
          <w:rFonts w:eastAsia="Microsoft YaHei" w:ascii="Calibri" w:hAnsi="Calibri"/>
        </w:rPr>
        <w:t>Phase 1 是整个项目的基石，目标是完成硬件抽象层（Hardware Abstraction Layer, HAL）和所有传感器驱动的开发，确保 ESP32-S3 能够稳定地从传感器获取原始数据。本阶段的工作质量直接影响后续所有阶段的数据质量和模型性能，因此必须严格按照验收标准执行，任何不符合标准的问题都必须在本阶段解决，不得带入后续阶段。本阶段的开发工具为 PlatformIO + Arduino 框架，调试工具为 ESP-IDF 内置的逻辑分析仪组件和串口监视器。</w:t>
      </w:r>
    </w:p>
    <w:p>
      <w:pPr>
        <w:spacing w:before="280" w:after="160" w:line="312" w:lineRule="auto"/>
        <w:jc w:val="left"/>
      </w:pPr>
      <w:r>
        <w:rPr>
          <w:b/>
          <w:color w:val="333333"/>
          <w:sz w:val="28"/>
          <w:rFonts w:eastAsia="SimHei" w:ascii="SimHei" w:hAnsi="SimHei"/>
        </w:rPr>
        <w:t>4.1  TMAG5273 驱动开发</w:t>
      </w:r>
    </w:p>
    <w:p>
      <w:pPr>
        <w:spacing w:before="0" w:after="120" w:line="312" w:lineRule="auto"/>
        <w:ind w:firstLine="480"/>
        <w:jc w:val="both"/>
      </w:pPr>
      <w:r>
        <w:rPr>
          <w:b w:val="0"/>
          <w:i w:val="0"/>
          <w:color w:val="333333"/>
          <w:sz w:val="24"/>
          <w:rFonts w:eastAsia="Microsoft YaHei" w:ascii="Calibri" w:hAnsi="Calibri"/>
        </w:rPr>
        <w:t>TMAG5273A1 是德州仪器推出的高精度线性 3D 霍尔效应传感器，支持 I2C 接口通信，提供 12-bit 分辨率的 X/Y/Z 三轴磁场强度输出。驱动的核心功能是实现 ReadXYZ() 方法，通过 I2C 总线读取传感器的磁场数据寄存器（MAG_X、MAG_Y、MAG_Z，各 2 字节，Little-Endian 格式）。传感器通过 TCA9548A 多路复用器连接到 ESP32-S3 的 I2C 主总线，I2C 设备地址为 0x22（默认配置，A0/A1 引脚接地）。</w:t>
      </w:r>
    </w:p>
    <w:p>
      <w:pPr>
        <w:spacing w:before="0" w:after="120" w:line="312" w:lineRule="auto"/>
        <w:ind w:firstLine="480"/>
        <w:jc w:val="both"/>
      </w:pPr>
      <w:r>
        <w:rPr>
          <w:b w:val="0"/>
          <w:i w:val="0"/>
          <w:color w:val="333333"/>
          <w:sz w:val="24"/>
          <w:rFonts w:eastAsia="Microsoft YaHei" w:ascii="Calibri" w:hAnsi="Calibri"/>
        </w:rPr>
        <w:t>驱动初始化流程如下：首先通过 TCA9548A 选择目标通道（通道 0-4 分别对应拇指到小指的传感器），然后写入传感器配置寄存器，设置触发模式为 Set/Reset（自动补偿温度漂移），量程为 ±40mT（默认值），转换模式为连续转换。初始化完成后，ReadXYZ() 方法按照以下步骤执行：选择 TCA9548A 通道 → 等待 1ms 总线稳定 → 读取磁场数据寄存器（6 字节）→ 组合为 X/Y/Z 三轴 12-bit 有符号整数值 → 转换为物理单位（mT）。需要注意的是，每次读取前必须先通过 TCA9548A 切换通道，否则会读取到错误传感器的数据，这是 I2C 多路复用器架构下最常见的 Bug 之一。</w:t>
      </w:r>
    </w:p>
    <w:p>
      <w:pPr>
        <w:spacing w:before="280" w:after="160" w:line="312" w:lineRule="auto"/>
        <w:jc w:val="left"/>
      </w:pPr>
      <w:r>
        <w:rPr>
          <w:b/>
          <w:color w:val="333333"/>
          <w:sz w:val="28"/>
          <w:rFonts w:eastAsia="SimHei" w:ascii="SimHei" w:hAnsi="SimHei"/>
        </w:rPr>
        <w:t>4.2  BNO085 驱动开发</w:t>
      </w:r>
    </w:p>
    <w:p>
      <w:pPr>
        <w:spacing w:before="0" w:after="120" w:line="312" w:lineRule="auto"/>
        <w:ind w:firstLine="480"/>
        <w:jc w:val="both"/>
      </w:pPr>
      <w:r>
        <w:rPr>
          <w:b w:val="0"/>
          <w:i w:val="0"/>
          <w:color w:val="333333"/>
          <w:sz w:val="24"/>
          <w:rFonts w:eastAsia="Microsoft YaHei" w:ascii="Calibri" w:hAnsi="Calibri"/>
        </w:rPr>
        <w:t>BNO085 是博世推出的新一代智能 9 轴 IMU，集成了三轴加速度计、三轴陀螺仪、三轴磁力计和 32 位 ARM Cortex-M0+ SensorHub 处理器。与上一代 BNO055 不同，BNO085 采用博世专有的 SH-2（Sensor Hub 2）协议进行配置和数据读取，支持丰富的传感器融合算法。本项目的驱动需要开启以下两个传感器报告（Sensor Report）：SH2_GAME_ROTATION_VECTOR（报告 ID 0x05），输出不含地磁影响的四元数（X/Y/Z/W），频率 100Hz；SH2_GYROSCOPE_CALIBRATED（报告 ID 0x0D），输出校准后的三轴角速度（rad/s），频率 100Hz。</w:t>
      </w:r>
    </w:p>
    <w:p>
      <w:pPr>
        <w:spacing w:before="0" w:after="120" w:line="312" w:lineRule="auto"/>
        <w:ind w:firstLine="480"/>
        <w:jc w:val="both"/>
      </w:pPr>
      <w:r>
        <w:rPr>
          <w:b w:val="0"/>
          <w:i w:val="0"/>
          <w:color w:val="333333"/>
          <w:sz w:val="24"/>
          <w:rFonts w:eastAsia="Microsoft YaHei" w:ascii="Calibri" w:hAnsi="Calibri"/>
        </w:rPr>
        <w:t>使用硬件传感器融合（Hardware Sensor Fusion）是本设计的关键决策之一。BNO085 的内置 SensorHub 处理器以 1kHz 的频率执行传感器融合算法，输出经过卡尔曼滤波和互补滤波的稳定四元数，这比在 ESP32-S3 上用软件实现融合（需要约 200μs/帧的计算时间）更高效、更精确。驱动实现需要处理 SH-2 协议的细节，包括产品 ID 查询、引脚分配（INT 引脚连接到 GPIO 21，用于数据就绪中断）、报告使能/禁用命令和数据读取。四元数数据的读取有两种方式：轮询方式和中断方式。本项目采用中断方式，当 BNO085 的 INT 引脚拉低时，在 FreeRTOS 任务中读取 FIFO 中的传感器数据，确保不丢失任何采样点。</w:t>
      </w:r>
    </w:p>
    <w:p>
      <w:pPr>
        <w:spacing w:before="280" w:after="160" w:line="312" w:lineRule="auto"/>
        <w:jc w:val="left"/>
      </w:pPr>
      <w:r>
        <w:rPr>
          <w:b/>
          <w:color w:val="333333"/>
          <w:sz w:val="28"/>
          <w:rFonts w:eastAsia="SimHei" w:ascii="SimHei" w:hAnsi="SimHei"/>
        </w:rPr>
        <w:t>4.3  TCA9548A 多路复用器驱动</w:t>
      </w:r>
    </w:p>
    <w:p>
      <w:pPr>
        <w:spacing w:before="0" w:after="120" w:line="312" w:lineRule="auto"/>
        <w:ind w:firstLine="480"/>
        <w:jc w:val="both"/>
      </w:pPr>
      <w:r>
        <w:rPr>
          <w:b w:val="0"/>
          <w:i w:val="0"/>
          <w:color w:val="333333"/>
          <w:sz w:val="24"/>
          <w:rFonts w:eastAsia="Microsoft YaHei" w:ascii="Calibri" w:hAnsi="Calibri"/>
        </w:rPr>
        <w:t>TCA9548A 是德州仪器生产的 8 通道 I2C 多路复用器/开关，通过 I2C 主总线控制最多 8 个子 I2C 通道的通断。本项目使用其中 5 个通道（通道 0-4），分别连接 5 颗 TMAG5273 传感器。TCA9548A 的 I2C 设备地址为 0x70（A0/A1/A2 引脚均接地），控制寄存器为单字节，每一位对应一个通道的开关状态（1=开启，0=关闭）。</w:t>
      </w:r>
    </w:p>
    <w:p>
      <w:pPr>
        <w:spacing w:before="0" w:after="120" w:line="312" w:lineRule="auto"/>
        <w:ind w:firstLine="480"/>
        <w:jc w:val="both"/>
      </w:pPr>
      <w:r>
        <w:rPr>
          <w:b w:val="0"/>
          <w:i w:val="0"/>
          <w:color w:val="333333"/>
          <w:sz w:val="24"/>
          <w:rFonts w:eastAsia="Microsoft YaHei" w:ascii="Calibri" w:hAnsi="Calibri"/>
        </w:rPr>
        <w:t>驱动的核心方法是 selectChannel(uint8_t channel)，该方法向 TCA9548A 的控制寄存器写入 (1 &lt;&lt; channel) 来激活指定通道。需要注意的是，TCA9548A 的通道切换不是互斥的——写入新的通道选择值不会自动关闭之前开启的通道。因此，在每次选择新通道前，建议先写入 0x00 关闭所有通道，再写入目标通道值。这种两步操作虽然增加了一次 I2C 写操作，但能有效避免多通道同时开启导致的总线冲突问题。此外，通道切换后需要等待至少 1ms 的总线稳定时间（t_CHG，根据数据手册典型值为 0.6μs，但考虑 PCB 走线和线缆电容，实际建议等待 1ms），然后再进行后续的传感器读写操作。</w:t>
      </w:r>
    </w:p>
    <w:p>
      <w:pPr>
        <w:spacing w:before="280" w:after="160" w:line="312" w:lineRule="auto"/>
        <w:jc w:val="left"/>
      </w:pPr>
      <w:r>
        <w:rPr>
          <w:b/>
          <w:color w:val="333333"/>
          <w:sz w:val="28"/>
          <w:rFonts w:eastAsia="SimHei" w:ascii="SimHei" w:hAnsi="SimHei"/>
        </w:rPr>
        <w:t>4.4  FreeRTOS 任务框架</w:t>
      </w:r>
    </w:p>
    <w:p>
      <w:pPr>
        <w:spacing w:before="0" w:after="120" w:line="312" w:lineRule="auto"/>
        <w:ind w:firstLine="480"/>
        <w:jc w:val="both"/>
      </w:pPr>
      <w:r>
        <w:rPr>
          <w:b w:val="0"/>
          <w:i w:val="0"/>
          <w:color w:val="333333"/>
          <w:sz w:val="24"/>
          <w:rFonts w:eastAsia="Microsoft YaHei" w:ascii="Calibri" w:hAnsi="Calibri"/>
        </w:rPr>
        <w:t>ESP32-S3 运行 FreeRTOS 实时操作系统，本项目的任务分配遵循「传感器采样与推理分离、通信独立」的原则，将系统划分为三个核心任务，分别绑定到不同的 CPU 核心上运行。ESP32-S3 的双核架构（Core 0 和 Core 1）使得传感器采样和模型推理可以真正并行执行，不会因推理计算而错过采样时间点。</w:t>
      </w:r>
    </w:p>
    <w:tbl>
      <w:tblPr>
        <w:tblW w:type="auto" w:w="0"/>
        <w:jc w:val="center"/>
        <w:tblLayout w:type="autofit"/>
        <w:tblLook w:firstColumn="1" w:firstRow="1" w:lastColumn="0" w:lastRow="0" w:noHBand="0" w:noVBand="1" w:val="04A0"/>
      </w:tblPr>
      <w:tblGrid>
        <w:gridCol w:w="1758"/>
        <w:gridCol w:w="1758"/>
        <w:gridCol w:w="1758"/>
        <w:gridCol w:w="1758"/>
        <w:gridCol w:w="1758"/>
      </w:tblGrid>
      <w:tr>
        <w:tc>
          <w:tcPr>
            <w:tcW w:type="dxa" w:w="1758"/>
            <w:vAlign w:val="center"/>
            <w:shd w:fill="1A2330"/>
            <w:tcBorders>
              <w:top w:val="single" w:sz="4" w:space="0" w:color="1A2330"/>
              <w:bottom w:val="single" w:sz="4" w:space="0" w:color="1A2330"/>
              <w:left w:val="single" w:sz="4" w:space="0" w:color="1A2330"/>
              <w:right w:val="single" w:sz="4" w:space="0" w:color="1A2330"/>
            </w:tcBorders>
          </w:tcPr>
          <w:p>
            <w:pPr>
              <w:jc w:val="center"/>
            </w:pPr>
            <w:r/>
            <w:r>
              <w:rPr>
                <w:b/>
                <w:color w:val="FFFFFF"/>
                <w:sz w:val="20"/>
              </w:rPr>
              <w:t>任务名称</w:t>
            </w:r>
          </w:p>
        </w:tc>
        <w:tc>
          <w:tcPr>
            <w:tcW w:type="dxa" w:w="1758"/>
            <w:vAlign w:val="center"/>
            <w:shd w:fill="1A2330"/>
            <w:tcBorders>
              <w:top w:val="single" w:sz="4" w:space="0" w:color="1A2330"/>
              <w:bottom w:val="single" w:sz="4" w:space="0" w:color="1A2330"/>
              <w:left w:val="single" w:sz="4" w:space="0" w:color="1A2330"/>
              <w:right w:val="single" w:sz="4" w:space="0" w:color="1A2330"/>
            </w:tcBorders>
          </w:tcPr>
          <w:p>
            <w:pPr>
              <w:jc w:val="center"/>
            </w:pPr>
            <w:r/>
            <w:r>
              <w:rPr>
                <w:b/>
                <w:color w:val="FFFFFF"/>
                <w:sz w:val="20"/>
              </w:rPr>
              <w:t>绑定核心</w:t>
            </w:r>
          </w:p>
        </w:tc>
        <w:tc>
          <w:tcPr>
            <w:tcW w:type="dxa" w:w="1758"/>
            <w:vAlign w:val="center"/>
            <w:shd w:fill="1A2330"/>
            <w:tcBorders>
              <w:top w:val="single" w:sz="4" w:space="0" w:color="1A2330"/>
              <w:bottom w:val="single" w:sz="4" w:space="0" w:color="1A2330"/>
              <w:left w:val="single" w:sz="4" w:space="0" w:color="1A2330"/>
              <w:right w:val="single" w:sz="4" w:space="0" w:color="1A2330"/>
            </w:tcBorders>
          </w:tcPr>
          <w:p>
            <w:pPr>
              <w:jc w:val="center"/>
            </w:pPr>
            <w:r/>
            <w:r>
              <w:rPr>
                <w:b/>
                <w:color w:val="FFFFFF"/>
                <w:sz w:val="20"/>
              </w:rPr>
              <w:t>优先级</w:t>
            </w:r>
          </w:p>
        </w:tc>
        <w:tc>
          <w:tcPr>
            <w:tcW w:type="dxa" w:w="1758"/>
            <w:vAlign w:val="center"/>
            <w:shd w:fill="1A2330"/>
            <w:tcBorders>
              <w:top w:val="single" w:sz="4" w:space="0" w:color="1A2330"/>
              <w:bottom w:val="single" w:sz="4" w:space="0" w:color="1A2330"/>
              <w:left w:val="single" w:sz="4" w:space="0" w:color="1A2330"/>
              <w:right w:val="single" w:sz="4" w:space="0" w:color="1A2330"/>
            </w:tcBorders>
          </w:tcPr>
          <w:p>
            <w:pPr>
              <w:jc w:val="center"/>
            </w:pPr>
            <w:r/>
            <w:r>
              <w:rPr>
                <w:b/>
                <w:color w:val="FFFFFF"/>
                <w:sz w:val="20"/>
              </w:rPr>
              <w:t>频率</w:t>
            </w:r>
          </w:p>
        </w:tc>
        <w:tc>
          <w:tcPr>
            <w:tcW w:type="dxa" w:w="1758"/>
            <w:vAlign w:val="center"/>
            <w:shd w:fill="1A2330"/>
            <w:tcBorders>
              <w:top w:val="single" w:sz="4" w:space="0" w:color="1A2330"/>
              <w:bottom w:val="single" w:sz="4" w:space="0" w:color="1A2330"/>
              <w:left w:val="single" w:sz="4" w:space="0" w:color="1A2330"/>
              <w:right w:val="single" w:sz="4" w:space="0" w:color="1A2330"/>
            </w:tcBorders>
          </w:tcPr>
          <w:p>
            <w:pPr>
              <w:jc w:val="center"/>
            </w:pPr>
            <w:r/>
            <w:r>
              <w:rPr>
                <w:b/>
                <w:color w:val="FFFFFF"/>
                <w:sz w:val="20"/>
              </w:rPr>
              <w:t>功能描述</w:t>
            </w:r>
          </w:p>
        </w:tc>
      </w:tr>
      <w:tr>
        <w:tc>
          <w:tcPr>
            <w:tcW w:type="dxa" w:w="1758"/>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Task_SensorRead</w:t>
            </w:r>
          </w:p>
        </w:tc>
        <w:tc>
          <w:tcPr>
            <w:tcW w:type="dxa" w:w="1758"/>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Core 1</w:t>
            </w:r>
          </w:p>
        </w:tc>
        <w:tc>
          <w:tcPr>
            <w:tcW w:type="dxa" w:w="1758"/>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3 (最高)</w:t>
            </w:r>
          </w:p>
        </w:tc>
        <w:tc>
          <w:tcPr>
            <w:tcW w:type="dxa" w:w="1758"/>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100Hz</w:t>
            </w:r>
          </w:p>
        </w:tc>
        <w:tc>
          <w:tcPr>
            <w:tcW w:type="dxa" w:w="1758"/>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I2C传感器数据采集</w:t>
            </w:r>
          </w:p>
        </w:tc>
      </w:tr>
      <w:tr>
        <w:tc>
          <w:tcPr>
            <w:tcW w:type="dxa" w:w="1758"/>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Task_Inference</w:t>
            </w:r>
          </w:p>
        </w:tc>
        <w:tc>
          <w:tcPr>
            <w:tcW w:type="dxa" w:w="1758"/>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Core 0</w:t>
            </w:r>
          </w:p>
        </w:tc>
        <w:tc>
          <w:tcPr>
            <w:tcW w:type="dxa" w:w="1758"/>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2</w:t>
            </w:r>
          </w:p>
        </w:tc>
        <w:tc>
          <w:tcPr>
            <w:tcW w:type="dxa" w:w="1758"/>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按需触发</w:t>
            </w:r>
          </w:p>
        </w:tc>
        <w:tc>
          <w:tcPr>
            <w:tcW w:type="dxa" w:w="1758"/>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TFLite Micro L1推理</w:t>
            </w:r>
          </w:p>
        </w:tc>
      </w:tr>
      <w:tr>
        <w:tc>
          <w:tcPr>
            <w:tcW w:type="dxa" w:w="1758"/>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Task_Comms</w:t>
            </w:r>
          </w:p>
        </w:tc>
        <w:tc>
          <w:tcPr>
            <w:tcW w:type="dxa" w:w="1758"/>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Core 0</w:t>
            </w:r>
          </w:p>
        </w:tc>
        <w:tc>
          <w:tcPr>
            <w:tcW w:type="dxa" w:w="1758"/>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1 (最低)</w:t>
            </w:r>
          </w:p>
        </w:tc>
        <w:tc>
          <w:tcPr>
            <w:tcW w:type="dxa" w:w="1758"/>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100Hz/事件驱动</w:t>
            </w:r>
          </w:p>
        </w:tc>
        <w:tc>
          <w:tcPr>
            <w:tcW w:type="dxa" w:w="1758"/>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BLE/WiFi数据传输</w:t>
            </w:r>
          </w:p>
        </w:tc>
      </w:tr>
    </w:tbl>
    <w:p>
      <w:pPr>
        <w:spacing w:before="240"/>
      </w:pPr>
    </w:p>
    <w:p>
      <w:pPr>
        <w:spacing w:before="0" w:after="120" w:line="312" w:lineRule="auto"/>
        <w:ind w:firstLine="480"/>
        <w:jc w:val="both"/>
      </w:pPr>
      <w:r>
        <w:rPr>
          <w:b w:val="0"/>
          <w:i w:val="0"/>
          <w:color w:val="333333"/>
          <w:sz w:val="24"/>
          <w:rFonts w:eastAsia="Microsoft YaHei" w:ascii="Calibri" w:hAnsi="Calibri"/>
        </w:rPr>
        <w:t>Task_SensorRead 以 100Hz 的固定频率运行在 Core 1 上，是系统中优先级最高的任务。该任务按照固定的顺序依次完成以下操作：读取 BNO085 四元数和陀螺仪数据 → 遍历 TCA9548A 通道 0-4 读取 5 路 TMAG5273 磁场数据 → 将原始数据写入共享环形缓冲区 → 通过任务通知（xTaskNotify）唤醒 Task_Inference（当缓冲区填满 30 帧时）。该任务的总执行时间约为 5-8ms（含 I2C 通信和通道切换），在 10ms 的采样周期（100Hz）内能够稳定完成。</w:t>
      </w:r>
    </w:p>
    <w:p>
      <w:pPr>
        <w:spacing w:before="0" w:after="120" w:line="312" w:lineRule="auto"/>
        <w:ind w:firstLine="480"/>
        <w:jc w:val="both"/>
      </w:pPr>
      <w:r>
        <w:rPr>
          <w:b w:val="0"/>
          <w:i w:val="0"/>
          <w:color w:val="333333"/>
          <w:sz w:val="24"/>
          <w:rFonts w:eastAsia="Microsoft YaHei" w:ascii="Calibri" w:hAnsi="Calibri"/>
        </w:rPr>
        <w:t>⚠️ 关键 Bug 修复记录：在最初实现 FreeRTOS 任务创建时，发现 xTaskCreatePinnedToCore() 函数的参数顺序存在严重错误。正确的参数顺序为：xTaskCreatePinnedToCore(taskFunction, name, stackSize, parameter, priority, taskHandle, coreID)。在早期代码中，函数指针（taskFunction）和任务句柄（taskHandle）的位置被互换，导致 FreeRTOS 将任务句柄（一个整数指针）当作函数指针执行，触发 Cache Access Exception（缓存访问异常），系统立即崩溃。该 Bug 的错误信息为 "Guru Meditation Error: Core 0 panic'ed (CacheAccessError)"，排查过程非常困难，因为错误信息并未明确指向参数顺序问题。修复方法：严格对照 ESP-IDF API 文档，确保参数顺序正确，并添加编译期静态断言（static_assert）验证函数指针的有效性。</w:t>
      </w:r>
    </w:p>
    <w:p>
      <w:pPr>
        <w:spacing w:before="280" w:after="160" w:line="312" w:lineRule="auto"/>
        <w:jc w:val="left"/>
      </w:pPr>
      <w:r>
        <w:rPr>
          <w:b/>
          <w:color w:val="333333"/>
          <w:sz w:val="28"/>
          <w:rFonts w:eastAsia="SimHei" w:ascii="SimHei" w:hAnsi="SimHei"/>
        </w:rPr>
        <w:t>4.5  验收标准</w:t>
      </w:r>
    </w:p>
    <w:p>
      <w:pPr>
        <w:spacing w:before="0" w:after="120" w:line="312" w:lineRule="auto"/>
        <w:ind w:firstLine="480"/>
        <w:jc w:val="both"/>
      </w:pPr>
      <w:r>
        <w:rPr>
          <w:b w:val="0"/>
          <w:i w:val="0"/>
          <w:color w:val="333333"/>
          <w:sz w:val="24"/>
          <w:rFonts w:eastAsia="Microsoft YaHei" w:ascii="Calibri" w:hAnsi="Calibri"/>
        </w:rPr>
        <w:t>Phase 1 的验收标准是确保所有传感器驱动的正确性和稳定性，为后续阶段提供可靠的数据基础。具体验收标准如下：第一，5 路 TMAG5273 传感器能够稳定读取 X/Y/Z 三轴磁场数据，在 TCA9548A 通道切换过程中无 I2C 总线冲突或数据错乱现象，连续运行 24 小时无错误。第二，BNO085 四元数输出稳定，旋转精度满足手部姿态检测需求，校准功能正常（系统启动后 5 秒内完成自动校准）。第三，整体采样频率稳定达到 100Hz，采样间隔的标准差小于 0.5ms。第四，FreeRTOS 任务调度正常，三个任务无死锁、无优先级反转、无栈溢出。第五，串口 CSV 输出格式正确，能够被 edge-impulse-data-forwarder 工具正常采集和上传。</w:t>
      </w:r>
    </w:p>
    <w:p>
      <w:r>
        <w:br w:type="page"/>
      </w:r>
    </w:p>
    <w:p>
      <w:pPr>
        <w:spacing w:before="360" w:after="160" w:line="312" w:lineRule="auto"/>
        <w:jc w:val="left"/>
      </w:pPr>
      <w:r>
        <w:rPr>
          <w:b/>
          <w:color w:val="333333"/>
          <w:sz w:val="32"/>
          <w:rFonts w:eastAsia="SimHei" w:ascii="SimHei" w:hAnsi="SimHei"/>
        </w:rPr>
        <w:t>5  Phase 2：信号处理与数据采集</w:t>
      </w:r>
    </w:p>
    <w:p>
      <w:pPr>
        <w:spacing w:before="0" w:after="120" w:line="312" w:lineRule="auto"/>
        <w:ind w:firstLine="480"/>
        <w:jc w:val="both"/>
      </w:pPr>
      <w:r>
        <w:rPr>
          <w:b w:val="0"/>
          <w:i w:val="0"/>
          <w:color w:val="333333"/>
          <w:sz w:val="24"/>
          <w:rFonts w:eastAsia="Microsoft YaHei" w:ascii="Calibri" w:hAnsi="Calibri"/>
        </w:rPr>
        <w:t>Phase 2 的核心目标是建立从原始传感器数据到机器学习模型输入的完整信号处理流水线，并开发高效的数据采集与标注工具。该阶段的工作质量直接决定了后续模型训练的数据质量，是整个项目中「数据为王」理念的集中体现。信号处理流水线包含卡尔曼滤波、数据归一化和滑动窗口缓冲三个主要模块，每个模块的设计都需要充分考虑嵌入式端的计算资源约束（ESP32-S3 的浮点运算能力有限，应尽量使用定点运算或查表法替代浮点运算）。</w:t>
      </w:r>
    </w:p>
    <w:p>
      <w:pPr>
        <w:spacing w:before="280" w:after="160" w:line="312" w:lineRule="auto"/>
        <w:jc w:val="left"/>
      </w:pPr>
      <w:r>
        <w:rPr>
          <w:b/>
          <w:color w:val="333333"/>
          <w:sz w:val="28"/>
          <w:rFonts w:eastAsia="SimHei" w:ascii="SimHei" w:hAnsi="SimHei"/>
        </w:rPr>
        <w:t>5.1  卡尔曼滤波</w:t>
      </w:r>
    </w:p>
    <w:p>
      <w:pPr>
        <w:spacing w:before="0" w:after="120" w:line="312" w:lineRule="auto"/>
        <w:ind w:firstLine="480"/>
        <w:jc w:val="both"/>
      </w:pPr>
      <w:r>
        <w:rPr>
          <w:b w:val="0"/>
          <w:i w:val="0"/>
          <w:color w:val="333333"/>
          <w:sz w:val="24"/>
          <w:rFonts w:eastAsia="Microsoft YaHei" w:ascii="Calibri" w:hAnsi="Calibri"/>
        </w:rPr>
        <w:t>TMAG5273 霍尔传感器的原始输出不可避免地包含环境磁场噪声、电磁干扰（EMI）和量化噪声。为了提高信号质量，本系统采用一维卡尔曼滤波器（1D Kalman Filter）对 15 路霍尔信号（5 传感器 × 3 轴）进行独立滤波处理。卡尔曼滤波器的优势在于它能够根据传感器的噪声特性自适应地调整滤波强度——在信号变化剧烈时（如手指快速弯曲）减少滤波以保持响应速度，在信号平稳时增加滤波以抑制噪声。</w:t>
      </w:r>
    </w:p>
    <w:p>
      <w:pPr>
        <w:spacing w:before="0" w:after="120" w:line="312" w:lineRule="auto"/>
        <w:ind w:firstLine="480"/>
        <w:jc w:val="both"/>
      </w:pPr>
      <w:r>
        <w:rPr>
          <w:b w:val="0"/>
          <w:i w:val="0"/>
          <w:color w:val="333333"/>
          <w:sz w:val="24"/>
          <w:rFonts w:eastAsia="Microsoft YaHei" w:ascii="Calibri" w:hAnsi="Calibri"/>
        </w:rPr>
        <w:t>卡尔曼滤波器的状态方程和观测方程定义如下：状态方程 x(k) = x(k-1) + w(k)，其中 x(k) 为当前时刻的真实值，w(k) 为过程噪声，服从 N(0, Q) 分布；观测方程 z(k) = x(k) + v(k)，其中 z(k) 为传感器测量值，v(k) 为测量噪声，服从 N(0, R) 分布。滤波器的更新步骤包含预测步骤（Predict）和更新步骤（Update）：预测步骤计算先验状态估计 x̂(k|k-1) = x̂(k-1|k-1) 和先验误差协方差 P(k|k-1) = P(k-1|k-1) + Q；更新步骤计算卡尔曼增益 K(k) = P(k|k-1) / (P(k|k-1) + R)，然后更新状态估计 x̂(k|k) = x̂(k|k-1) + K(k) × (z(k) - x̂(k|k-1)) 和误差协方差 P(k|k) = (1 - K(k)) × P(k|k-1)。</w:t>
      </w:r>
    </w:p>
    <w:p>
      <w:pPr>
        <w:spacing w:before="0" w:after="120" w:line="312" w:lineRule="auto"/>
        <w:ind w:firstLine="480"/>
        <w:jc w:val="both"/>
      </w:pPr>
      <w:r>
        <w:rPr>
          <w:b w:val="0"/>
          <w:i w:val="0"/>
          <w:color w:val="333333"/>
          <w:sz w:val="24"/>
          <w:rFonts w:eastAsia="Microsoft YaHei" w:ascii="Calibri" w:hAnsi="Calibri"/>
        </w:rPr>
        <w:t>调参要点：过程噪声 Q 的值决定了滤波器对信号变化的跟踪速度，Q 越大跟踪越快但滤波效果越弱；测量噪声 R 的值决定了滤波器对测量值的信任程度，R 越大滤波越强但响应越慢。对于手语动作的霍尔信号，推荐初始参数为 Q = 1e-4、R = 1e-2，然后通过实际信号分析进行微调。在 ESP32-S3 上实现时，建议使用定点运算（Q15 或 Q31 格式）替代浮点运算，可将单路滤波的计算时间从约 10μs 降低到约 3μs。</w:t>
      </w:r>
    </w:p>
    <w:p>
      <w:pPr>
        <w:spacing w:before="280" w:after="160" w:line="312" w:lineRule="auto"/>
        <w:jc w:val="left"/>
      </w:pPr>
      <w:r>
        <w:rPr>
          <w:b/>
          <w:color w:val="333333"/>
          <w:sz w:val="28"/>
          <w:rFonts w:eastAsia="SimHei" w:ascii="SimHei" w:hAnsi="SimHei"/>
        </w:rPr>
        <w:t>5.2  数据归一化与特征向量组合</w:t>
      </w:r>
    </w:p>
    <w:p>
      <w:pPr>
        <w:spacing w:before="0" w:after="120" w:line="312" w:lineRule="auto"/>
        <w:ind w:firstLine="480"/>
        <w:jc w:val="both"/>
      </w:pPr>
      <w:r>
        <w:rPr>
          <w:b w:val="0"/>
          <w:i w:val="0"/>
          <w:color w:val="333333"/>
          <w:sz w:val="24"/>
          <w:rFonts w:eastAsia="Microsoft YaHei" w:ascii="Calibri" w:hAnsi="Calibri"/>
        </w:rPr>
        <w:t>卡尔曼滤波后的数据需要经过归一化处理才能作为模型的输入。霍尔数据采用 Min-Max 归一化方法，将 12-bit 原始值（范围 0-4095）映射到 [0, 1] 区间。归一化公式为 x_norm = (x - x_min) / (x_max - x_min)，其中 x_min 和 x_max 是在数据采集阶段通过对所有手势动作的统计得出的全局最小值和最大值。需要注意的是，不同手指的霍尔传感器量程可能不同（拇指的磁场变化范围通常大于小指），因此应分别计算每路传感器的 x_min 和 x_max。</w:t>
      </w:r>
    </w:p>
    <w:p>
      <w:pPr>
        <w:spacing w:before="0" w:after="120" w:line="312" w:lineRule="auto"/>
        <w:ind w:firstLine="480"/>
        <w:jc w:val="both"/>
      </w:pPr>
      <w:r>
        <w:rPr>
          <w:b w:val="0"/>
          <w:i w:val="0"/>
          <w:color w:val="333333"/>
          <w:sz w:val="24"/>
          <w:rFonts w:eastAsia="Microsoft YaHei" w:ascii="Calibri" w:hAnsi="Calibri"/>
        </w:rPr>
        <w:t>BNO085 输出的四元数（Qx, Qy, Qz, Qw）需要转换为欧拉角（Roll, Pitch, Yaw）以便与霍尔数据统一格式。四元数到欧拉角的转换公式为标准的三轴旋转矩阵分解，但需要注意万向锁（Gimbal Lock）问题——当 Pitch 接近 ±90° 时，Roll 和 Yaw 的计算会出现数值不稳定。本系统通过限制手部活动范围（手语动作中腕部 Pitch 极少接近 ±90°）和使用高精度浮点运算来规避该问题。最终的特征向量为 21 维：15 维归一化霍尔数据 + 3 维欧拉角（Roll, Pitch, Yaw）+ 3 维陀螺仪数据（Gx, Gy, Gz，也需归一化处理）。</w:t>
      </w:r>
    </w:p>
    <w:p>
      <w:pPr>
        <w:spacing w:before="280" w:after="160" w:line="312" w:lineRule="auto"/>
        <w:jc w:val="left"/>
      </w:pPr>
      <w:r>
        <w:rPr>
          <w:b/>
          <w:color w:val="333333"/>
          <w:sz w:val="28"/>
          <w:rFonts w:eastAsia="SimHei" w:ascii="SimHei" w:hAnsi="SimHei"/>
        </w:rPr>
        <w:t>5.3  滑动窗口缓冲区</w:t>
      </w:r>
    </w:p>
    <w:p>
      <w:pPr>
        <w:spacing w:before="0" w:after="120" w:line="312" w:lineRule="auto"/>
        <w:ind w:firstLine="480"/>
        <w:jc w:val="both"/>
      </w:pPr>
      <w:r>
        <w:rPr>
          <w:b w:val="0"/>
          <w:i w:val="0"/>
          <w:color w:val="333333"/>
          <w:sz w:val="24"/>
          <w:rFonts w:eastAsia="Microsoft YaHei" w:ascii="Calibri" w:hAnsi="Calibri"/>
        </w:rPr>
        <w:t>手势识别模型需要一段连续时间的传感器数据作为输入，而非单帧数据。本项目采用滑动窗口（Sliding Window）机制来组织时序数据：窗口大小为 30 帧（对应 300ms 的数据，在 100Hz 采样率下），窗口步长为 1 帧（即每次新数据到来时滑动一个位置）。30 帧的窗口大小经过实验验证，能够在时间分辨率和计算效率之间取得良好的平衡——更小的窗口（如 15 帧）可能导致模型无法捕捉完整的手势动态，更大的窗口（如 60 帧）会增加推理延迟和内存占用。</w:t>
      </w:r>
    </w:p>
    <w:p>
      <w:pPr>
        <w:spacing w:before="0" w:after="120" w:line="312" w:lineRule="auto"/>
        <w:ind w:firstLine="480"/>
        <w:jc w:val="both"/>
      </w:pPr>
      <w:r>
        <w:rPr>
          <w:b w:val="0"/>
          <w:i w:val="0"/>
          <w:color w:val="333333"/>
          <w:sz w:val="24"/>
          <w:rFonts w:eastAsia="Microsoft YaHei" w:ascii="Calibri" w:hAnsi="Calibri"/>
        </w:rPr>
        <w:t>环形缓冲区（Ring Buffer）是实现滑动窗口的高效数据结构。在 ESP32-S3 上，分配一个 30 × 21 × sizeof(float) = 2520 字节的连续内存区域作为环形缓冲区，使用头指针（head）和尾指针（tail）管理数据的写入和读取。每帧新数据到来时，写入 head 指向的位置，然后 head = (head + 1) % 30；当 head == tail 时，表示缓冲区已满，此时 tail = (tail + 1) % 30，最老的数据被自动覆盖。这种实现无需数据搬移，时间复杂度 O(1)。当缓冲区填满 30 帧后，触发推理任务或通知上位机数据就绪。</w:t>
      </w:r>
    </w:p>
    <w:p>
      <w:pPr>
        <w:spacing w:before="280" w:after="160" w:line="312" w:lineRule="auto"/>
        <w:jc w:val="left"/>
      </w:pPr>
      <w:r>
        <w:rPr>
          <w:b/>
          <w:color w:val="333333"/>
          <w:sz w:val="28"/>
          <w:rFonts w:eastAsia="SimHei" w:ascii="SimHei" w:hAnsi="SimHei"/>
        </w:rPr>
        <w:t>5.4  数据采集与标注工具</w:t>
      </w:r>
    </w:p>
    <w:p>
      <w:pPr>
        <w:spacing w:before="0" w:after="120" w:line="312" w:lineRule="auto"/>
        <w:ind w:firstLine="480"/>
        <w:jc w:val="both"/>
      </w:pPr>
      <w:r>
        <w:rPr>
          <w:b w:val="0"/>
          <w:i w:val="0"/>
          <w:color w:val="333333"/>
          <w:sz w:val="24"/>
          <w:rFonts w:eastAsia="Microsoft YaHei" w:ascii="Calibri" w:hAnsi="Calibri"/>
        </w:rPr>
        <w:t>数据采集是机器学习项目中最为耗时但最关键的环节。本项目提供两套数据采集工具：第一套是基于 edge-impulse-data-forwarder 的自动化采集方案，适用于 Edge Impulse 路径（路径 A），该工具通过 ESP32-S3 的串口 CSV 输出自动采集传感器数据并上传至 Edge Impulse 云端，支持在线标注和模型训练；第二套是基于 Python 的自定义采集方案，适用于 PyTorch 路径（路径 B），Python 脚本通过 BLE 或串口接收传感器数据，同时保存为 CSV（人类可读）和 NPY（NumPy 二进制格式，加载速度快）双格式。</w:t>
      </w:r>
    </w:p>
    <w:p>
      <w:pPr>
        <w:spacing w:before="0" w:after="120" w:line="312" w:lineRule="auto"/>
        <w:ind w:firstLine="480"/>
        <w:jc w:val="both"/>
      </w:pPr>
      <w:r>
        <w:rPr>
          <w:b w:val="0"/>
          <w:i w:val="0"/>
          <w:color w:val="333333"/>
          <w:sz w:val="24"/>
          <w:rFonts w:eastAsia="Microsoft YaHei" w:ascii="Calibri" w:hAnsi="Calibri"/>
        </w:rPr>
        <w:t>标注工具支持 46 类中国手语词汇的标注，采用「先录制后标注」的工作流。录制时，采集脚本以 100Hz 的频率持续记录传感器数据，标注人员在每个手势动作完成后按下快捷键（或点击 GUI 按钮）添加时间戳标记和手势标签。标注完成后，脚本根据时间戳将连续数据流切割为独立的手势样本（每个样本包含手势前 5 帧的静默段 + 手势段 + 手势后 5 帧的静默段），并保存为结构化文件。建议每类手势至少采集 100 个样本（由 3-5 名不同的手语使用者分别录制），以确保数据的多样性和模型的泛化能力。</w:t>
      </w:r>
    </w:p>
    <w:p>
      <w:r>
        <w:br w:type="page"/>
      </w:r>
    </w:p>
    <w:p>
      <w:pPr>
        <w:spacing w:before="360" w:after="160" w:line="312" w:lineRule="auto"/>
        <w:jc w:val="left"/>
      </w:pPr>
      <w:r>
        <w:rPr>
          <w:b/>
          <w:color w:val="333333"/>
          <w:sz w:val="32"/>
          <w:rFonts w:eastAsia="SimHei" w:ascii="SimHei" w:hAnsi="SimHei"/>
        </w:rPr>
        <w:t>6  Phase 3：L1 边缘推理 TinyML</w:t>
      </w:r>
    </w:p>
    <w:p>
      <w:pPr>
        <w:spacing w:before="0" w:after="120" w:line="312" w:lineRule="auto"/>
        <w:ind w:firstLine="480"/>
        <w:jc w:val="both"/>
      </w:pPr>
      <w:r>
        <w:rPr>
          <w:b w:val="0"/>
          <w:i w:val="0"/>
          <w:color w:val="333333"/>
          <w:sz w:val="24"/>
          <w:rFonts w:eastAsia="Microsoft YaHei" w:ascii="Calibri" w:hAnsi="Calibri"/>
        </w:rPr>
        <w:t>Phase 3 是项目的核心 AI 模块开发阶段，目标是在 ESP32-S3 上部署一个轻量级的手势分类模型（L1 推理），实现端侧的实时手势识别。本阶段采用双路径开发策略：路径 A 使用 Edge Impulse 平台实现 MVP 快速验证，路径 B 使用 PyTorch 原生训练并导出 TFLite INT8 模型用于论文复现。两条路径共享同一套数据集和传感器驱动代码，但模型训练和部署方式不同。</w:t>
      </w:r>
    </w:p>
    <w:p>
      <w:pPr>
        <w:spacing w:before="280" w:after="160" w:line="312" w:lineRule="auto"/>
        <w:jc w:val="left"/>
      </w:pPr>
      <w:r>
        <w:rPr>
          <w:b/>
          <w:color w:val="333333"/>
          <w:sz w:val="28"/>
          <w:rFonts w:eastAsia="SimHei" w:ascii="SimHei" w:hAnsi="SimHei"/>
        </w:rPr>
        <w:t>6.1  路径 A：Edge Impulse MVP（Phase 2-3）</w:t>
      </w:r>
    </w:p>
    <w:p>
      <w:pPr>
        <w:spacing w:before="0" w:after="120" w:line="312" w:lineRule="auto"/>
        <w:ind w:firstLine="480"/>
        <w:jc w:val="both"/>
      </w:pPr>
      <w:r>
        <w:rPr>
          <w:b w:val="0"/>
          <w:i w:val="0"/>
          <w:color w:val="333333"/>
          <w:sz w:val="24"/>
          <w:rFonts w:eastAsia="Microsoft YaHei" w:ascii="Calibri" w:hAnsi="Calibri"/>
        </w:rPr>
        <w:t>Edge Impulse 路径的目标是在最短时间内完成从数据采集到端侧部署的全流程验证。具体步骤如下：第一步，使用 edge-impulse-data-forwarder 工具通过 ESP32-S3 的串口 CSV 输出采集传感器数据，自动上传至 Edge Impulse 云端项目。第二步，在 EI Studio 的 Data Acquisition 页面进行数据标注，将每个样本标记为对应的手势类别。第三步，在 EI Studio 的 Impulse Design 页面配置信号处理参数（Raw Data 输入，无需额外特征工程）和模型参数（1D-CNN 分类器，学习轮次 200，学习率 0.001）。第四步，训练完成后开启 EON（Edge Optimized Neural）Compiler 优化，该编译器会自动执行算子融合、内存优化和 INT8 量化，生成针对 ESP32-S3 优化的模型。第五步，导出为 Arduino Library（C++ 库），通过 PlatformIO 的 lib_deps 机制集成到项目中。</w:t>
      </w:r>
    </w:p>
    <w:p>
      <w:pPr>
        <w:spacing w:before="0" w:after="120" w:line="312" w:lineRule="auto"/>
        <w:ind w:firstLine="480"/>
        <w:jc w:val="both"/>
      </w:pPr>
      <w:r>
        <w:rPr>
          <w:b w:val="0"/>
          <w:i w:val="0"/>
          <w:color w:val="333333"/>
          <w:sz w:val="24"/>
          <w:rFonts w:eastAsia="Microsoft YaHei" w:ascii="Calibri" w:hAnsi="Calibri"/>
        </w:rPr>
        <w:t>Edge Impulse 路径的优势在于开发速度快——从数据采集到端侧部署通常只需 2-3 天，非常适合在项目早期快速验证数据质量、传感器布局和模型架构的可行性。然而，该路径也存在明显劣势：模型结构受限于平台提供的模块（无法自定义注意力机制等高级结构），训练超参数的可控性较低，且模型训练在云端执行，可复现性不足。因此，Edge Impulse 路径仅用于 MVP 验证，不用于最终的产品化和论文发表。</w:t>
      </w:r>
    </w:p>
    <w:p>
      <w:pPr>
        <w:spacing w:before="280" w:after="160" w:line="312" w:lineRule="auto"/>
        <w:jc w:val="left"/>
      </w:pPr>
      <w:r>
        <w:rPr>
          <w:b/>
          <w:color w:val="333333"/>
          <w:sz w:val="28"/>
          <w:rFonts w:eastAsia="SimHei" w:ascii="SimHei" w:hAnsi="SimHei"/>
        </w:rPr>
        <w:t>6.2  路径 B：PyTorch → TFLite INT8（Phase 3+）</w:t>
      </w:r>
    </w:p>
    <w:p>
      <w:pPr>
        <w:spacing w:before="0" w:after="120" w:line="312" w:lineRule="auto"/>
        <w:ind w:firstLine="480"/>
        <w:jc w:val="both"/>
      </w:pPr>
      <w:r>
        <w:rPr>
          <w:b w:val="0"/>
          <w:i w:val="0"/>
          <w:color w:val="333333"/>
          <w:sz w:val="24"/>
          <w:rFonts w:eastAsia="Microsoft YaHei" w:ascii="Calibri" w:hAnsi="Calibri"/>
        </w:rPr>
        <w:t>PyTorch 路径是论文复现和产品化的正式方案，提供了完全可控的模型训练和部署流水线。模型架构为 1D-CNN + TemporalAttention，专门为嵌入式部署优化设计。输入维度为 (Batch, Channels=21, Time=30)，输出维度为 (Batch, Classes=46)。模型结构定义如下：</w:t>
      </w:r>
    </w:p>
    <w:tbl>
      <w:tblPr>
        <w:tblW w:type="auto" w:w="0"/>
        <w:jc w:val="center"/>
        <w:tblLayout w:type="autofit"/>
        <w:tblLook w:firstColumn="1" w:firstRow="1" w:lastColumn="0" w:lastRow="0" w:noHBand="0" w:noVBand="1" w:val="04A0"/>
      </w:tblPr>
      <w:tblGrid>
        <w:gridCol w:w="2197"/>
        <w:gridCol w:w="2197"/>
        <w:gridCol w:w="2197"/>
        <w:gridCol w:w="2197"/>
      </w:tblGrid>
      <w:tr>
        <w:tc>
          <w:tcPr>
            <w:tcW w:type="dxa" w:w="2197"/>
            <w:vAlign w:val="center"/>
            <w:shd w:fill="1A2330"/>
            <w:tcBorders>
              <w:top w:val="single" w:sz="4" w:space="0" w:color="1A2330"/>
              <w:bottom w:val="single" w:sz="4" w:space="0" w:color="1A2330"/>
              <w:left w:val="single" w:sz="4" w:space="0" w:color="1A2330"/>
              <w:right w:val="single" w:sz="4" w:space="0" w:color="1A2330"/>
            </w:tcBorders>
          </w:tcPr>
          <w:p>
            <w:pPr>
              <w:jc w:val="center"/>
            </w:pPr>
            <w:r/>
            <w:r>
              <w:rPr>
                <w:b/>
                <w:color w:val="FFFFFF"/>
                <w:sz w:val="20"/>
              </w:rPr>
              <w:t>层名称</w:t>
            </w:r>
          </w:p>
        </w:tc>
        <w:tc>
          <w:tcPr>
            <w:tcW w:type="dxa" w:w="2197"/>
            <w:vAlign w:val="center"/>
            <w:shd w:fill="1A2330"/>
            <w:tcBorders>
              <w:top w:val="single" w:sz="4" w:space="0" w:color="1A2330"/>
              <w:bottom w:val="single" w:sz="4" w:space="0" w:color="1A2330"/>
              <w:left w:val="single" w:sz="4" w:space="0" w:color="1A2330"/>
              <w:right w:val="single" w:sz="4" w:space="0" w:color="1A2330"/>
            </w:tcBorders>
          </w:tcPr>
          <w:p>
            <w:pPr>
              <w:jc w:val="center"/>
            </w:pPr>
            <w:r/>
            <w:r>
              <w:rPr>
                <w:b/>
                <w:color w:val="FFFFFF"/>
                <w:sz w:val="20"/>
              </w:rPr>
              <w:t>结构</w:t>
            </w:r>
          </w:p>
        </w:tc>
        <w:tc>
          <w:tcPr>
            <w:tcW w:type="dxa" w:w="2197"/>
            <w:vAlign w:val="center"/>
            <w:shd w:fill="1A2330"/>
            <w:tcBorders>
              <w:top w:val="single" w:sz="4" w:space="0" w:color="1A2330"/>
              <w:bottom w:val="single" w:sz="4" w:space="0" w:color="1A2330"/>
              <w:left w:val="single" w:sz="4" w:space="0" w:color="1A2330"/>
              <w:right w:val="single" w:sz="4" w:space="0" w:color="1A2330"/>
            </w:tcBorders>
          </w:tcPr>
          <w:p>
            <w:pPr>
              <w:jc w:val="center"/>
            </w:pPr>
            <w:r/>
            <w:r>
              <w:rPr>
                <w:b/>
                <w:color w:val="FFFFFF"/>
                <w:sz w:val="20"/>
              </w:rPr>
              <w:t>输出维度</w:t>
            </w:r>
          </w:p>
        </w:tc>
        <w:tc>
          <w:tcPr>
            <w:tcW w:type="dxa" w:w="2197"/>
            <w:vAlign w:val="center"/>
            <w:shd w:fill="1A2330"/>
            <w:tcBorders>
              <w:top w:val="single" w:sz="4" w:space="0" w:color="1A2330"/>
              <w:bottom w:val="single" w:sz="4" w:space="0" w:color="1A2330"/>
              <w:left w:val="single" w:sz="4" w:space="0" w:color="1A2330"/>
              <w:right w:val="single" w:sz="4" w:space="0" w:color="1A2330"/>
            </w:tcBorders>
          </w:tcPr>
          <w:p>
            <w:pPr>
              <w:jc w:val="center"/>
            </w:pPr>
            <w:r/>
            <w:r>
              <w:rPr>
                <w:b/>
                <w:color w:val="FFFFFF"/>
                <w:sz w:val="20"/>
              </w:rPr>
              <w:t>参数量</w:t>
            </w:r>
          </w:p>
        </w:tc>
      </w:tr>
      <w:tr>
        <w:tc>
          <w:tcPr>
            <w:tcW w:type="dxa" w:w="2197"/>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Input</w:t>
            </w:r>
          </w:p>
        </w:tc>
        <w:tc>
          <w:tcPr>
            <w:tcW w:type="dxa" w:w="2197"/>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w:t>
            </w:r>
          </w:p>
        </w:tc>
        <w:tc>
          <w:tcPr>
            <w:tcW w:type="dxa" w:w="2197"/>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(B, 21, 30)</w:t>
            </w:r>
          </w:p>
        </w:tc>
        <w:tc>
          <w:tcPr>
            <w:tcW w:type="dxa" w:w="2197"/>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0</w:t>
            </w:r>
          </w:p>
        </w:tc>
      </w:tr>
      <w:tr>
        <w:tc>
          <w:tcPr>
            <w:tcW w:type="dxa" w:w="2197"/>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Block1</w:t>
            </w:r>
          </w:p>
        </w:tc>
        <w:tc>
          <w:tcPr>
            <w:tcW w:type="dxa" w:w="2197"/>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Conv1d(21→32, k=5, p=2) + BN + ReLU + MaxPool(2)</w:t>
            </w:r>
          </w:p>
        </w:tc>
        <w:tc>
          <w:tcPr>
            <w:tcW w:type="dxa" w:w="2197"/>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(B, 32, 14)</w:t>
            </w:r>
          </w:p>
        </w:tc>
        <w:tc>
          <w:tcPr>
            <w:tcW w:type="dxa" w:w="2197"/>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~3.5K</w:t>
            </w:r>
          </w:p>
        </w:tc>
      </w:tr>
      <w:tr>
        <w:tc>
          <w:tcPr>
            <w:tcW w:type="dxa" w:w="2197"/>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Block2</w:t>
            </w:r>
          </w:p>
        </w:tc>
        <w:tc>
          <w:tcPr>
            <w:tcW w:type="dxa" w:w="2197"/>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Conv1d(32→64, k=3, p=1) + BN + ReLU + MaxPool(2)</w:t>
            </w:r>
          </w:p>
        </w:tc>
        <w:tc>
          <w:tcPr>
            <w:tcW w:type="dxa" w:w="2197"/>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(B, 64, 6)</w:t>
            </w:r>
          </w:p>
        </w:tc>
        <w:tc>
          <w:tcPr>
            <w:tcW w:type="dxa" w:w="2197"/>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~6.4K</w:t>
            </w:r>
          </w:p>
        </w:tc>
      </w:tr>
      <w:tr>
        <w:tc>
          <w:tcPr>
            <w:tcW w:type="dxa" w:w="2197"/>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Block3</w:t>
            </w:r>
          </w:p>
        </w:tc>
        <w:tc>
          <w:tcPr>
            <w:tcW w:type="dxa" w:w="2197"/>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Conv1d(64→128, k=3, p=1) + BN + ReLU</w:t>
            </w:r>
          </w:p>
        </w:tc>
        <w:tc>
          <w:tcPr>
            <w:tcW w:type="dxa" w:w="2197"/>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(B, 128, 4)</w:t>
            </w:r>
          </w:p>
        </w:tc>
        <w:tc>
          <w:tcPr>
            <w:tcW w:type="dxa" w:w="2197"/>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~25K</w:t>
            </w:r>
          </w:p>
        </w:tc>
      </w:tr>
      <w:tr>
        <w:tc>
          <w:tcPr>
            <w:tcW w:type="dxa" w:w="2197"/>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TempAttention</w:t>
            </w:r>
          </w:p>
        </w:tc>
        <w:tc>
          <w:tcPr>
            <w:tcW w:type="dxa" w:w="2197"/>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Eq.11-13:通道注意力</w:t>
            </w:r>
          </w:p>
        </w:tc>
        <w:tc>
          <w:tcPr>
            <w:tcW w:type="dxa" w:w="2197"/>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(B, 128, 4)</w:t>
            </w:r>
          </w:p>
        </w:tc>
        <w:tc>
          <w:tcPr>
            <w:tcW w:type="dxa" w:w="2197"/>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~0.3K</w:t>
            </w:r>
          </w:p>
        </w:tc>
      </w:tr>
      <w:tr>
        <w:tc>
          <w:tcPr>
            <w:tcW w:type="dxa" w:w="2197"/>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GlobalAvgPool</w:t>
            </w:r>
          </w:p>
        </w:tc>
        <w:tc>
          <w:tcPr>
            <w:tcW w:type="dxa" w:w="2197"/>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AdaptiveAvgPool1d(1)</w:t>
            </w:r>
          </w:p>
        </w:tc>
        <w:tc>
          <w:tcPr>
            <w:tcW w:type="dxa" w:w="2197"/>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(B, 128, 1)</w:t>
            </w:r>
          </w:p>
        </w:tc>
        <w:tc>
          <w:tcPr>
            <w:tcW w:type="dxa" w:w="2197"/>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0</w:t>
            </w:r>
          </w:p>
        </w:tc>
      </w:tr>
      <w:tr>
        <w:tc>
          <w:tcPr>
            <w:tcW w:type="dxa" w:w="2197"/>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FC</w:t>
            </w:r>
          </w:p>
        </w:tc>
        <w:tc>
          <w:tcPr>
            <w:tcW w:type="dxa" w:w="2197"/>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Linear(128→46)</w:t>
            </w:r>
          </w:p>
        </w:tc>
        <w:tc>
          <w:tcPr>
            <w:tcW w:type="dxa" w:w="2197"/>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(B, 46)</w:t>
            </w:r>
          </w:p>
        </w:tc>
        <w:tc>
          <w:tcPr>
            <w:tcW w:type="dxa" w:w="2197"/>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~6K</w:t>
            </w:r>
          </w:p>
        </w:tc>
      </w:tr>
    </w:tbl>
    <w:p>
      <w:pPr>
        <w:spacing w:before="160"/>
      </w:pPr>
    </w:p>
    <w:p>
      <w:pPr>
        <w:spacing w:before="0" w:after="120" w:line="312" w:lineRule="auto"/>
        <w:ind w:firstLine="480"/>
        <w:jc w:val="both"/>
      </w:pPr>
      <w:r>
        <w:rPr>
          <w:b w:val="0"/>
          <w:i w:val="0"/>
          <w:color w:val="333333"/>
          <w:sz w:val="24"/>
          <w:rFonts w:eastAsia="Microsoft YaHei" w:ascii="Calibri" w:hAnsi="Calibri"/>
        </w:rPr>
        <w:t>TemporalAttention 模块（Eq.11-13）是该模型的核心创新点。其实现方式为：对 Block3 的输出特征图（维度 B×128×4）在时间维度上进行全局平均池化得到通道描述符 c ∈ R^128，然后通过两层全连接网络（128→16→128，中间使用 ReLU 激活和 Sigmoid 门控）生成通道注意力权重 a ∈ R^128，最后将注意力权重与原始特征图逐通道相乘。该机制使模型能够自适应地关注最具判别力的特征通道，从而提升分类准确率。</w:t>
      </w:r>
    </w:p>
    <w:p>
      <w:pPr>
        <w:spacing w:before="0" w:after="120" w:line="312" w:lineRule="auto"/>
        <w:ind w:firstLine="480"/>
        <w:jc w:val="both"/>
      </w:pPr>
      <w:r>
        <w:rPr>
          <w:b w:val="0"/>
          <w:i w:val="0"/>
          <w:color w:val="333333"/>
          <w:sz w:val="24"/>
          <w:rFonts w:eastAsia="Microsoft YaHei" w:ascii="Calibri" w:hAnsi="Calibri"/>
        </w:rPr>
        <w:t>模型量化是嵌入式部署的关键步骤。本项目采用 INT8 Post-Training Quantization（训练后量化），将 PyTorch FP32 模型的权重和激活值从 32 位浮点数量化为 8 位整数。量化流程为：PyTorch 模型 → ONNX 中间格式 → TFLite FP32 模型 → TFLite INT8 模型（使用 representative_dataset 校准量化参数）。量化后的模型大小从约 140KB（FP32）缩减至约 38KB（INT8），推理速度提升约 3-4 倍，准确率损失通常控制在 1-2% 以内。最终，使用 xxd 工具将 TFLite FlatBuffer 文件转换为 C 语言头文件 model_data.h，集成到 PlatformIO 项目中，由 TFLite Micro 解释器加载和执行。</w:t>
      </w:r>
    </w:p>
    <w:p>
      <w:pPr>
        <w:spacing w:before="280" w:after="160" w:line="312" w:lineRule="auto"/>
        <w:jc w:val="left"/>
      </w:pPr>
      <w:r>
        <w:rPr>
          <w:b/>
          <w:color w:val="333333"/>
          <w:sz w:val="28"/>
          <w:rFonts w:eastAsia="SimHei" w:ascii="SimHei" w:hAnsi="SimHei"/>
        </w:rPr>
        <w:t>6.3  推理触发逻辑</w:t>
      </w:r>
    </w:p>
    <w:p>
      <w:pPr>
        <w:spacing w:before="0" w:after="120" w:line="312" w:lineRule="auto"/>
        <w:ind w:firstLine="480"/>
        <w:jc w:val="both"/>
      </w:pPr>
      <w:r>
        <w:rPr>
          <w:b w:val="0"/>
          <w:i w:val="0"/>
          <w:color w:val="333333"/>
          <w:sz w:val="24"/>
          <w:rFonts w:eastAsia="Microsoft YaHei" w:ascii="Calibri" w:hAnsi="Calibri"/>
        </w:rPr>
        <w:t>L1 推理的触发逻辑基于滑动窗口缓冲区和置信度阈值两个核心机制。当环形缓冲区填满 30 帧数据后（对应 300ms 的传感器数据），Task_Inference 被唤醒，执行 TFLite Micro 推理。推理输出为 46 维的 softmax 概率向量，其中最大概率值即为预测置信度。系统根据置信度与预设阈值（0.85）的关系决定后续动作：高置信度（&gt; 0.85）：直接输出手势 ID 和对应的中文名称，通过 BLE/WiFi 发送至上位机，触发 TTS 语音合成或 3D 动画播放。低置信度（≤ 0.85）：标记为 UNKNOWN，同时将当前滑动窗口的 630 维特征向量打包为 Protobuf 消息，通过 BLE/WiFi 转发至上位机触发 L2 ST-GCN 推理。</w:t>
      </w:r>
    </w:p>
    <w:p>
      <w:pPr>
        <w:spacing w:before="0" w:after="120" w:line="312" w:lineRule="auto"/>
        <w:ind w:firstLine="480"/>
        <w:jc w:val="both"/>
      </w:pPr>
      <w:r>
        <w:rPr>
          <w:b w:val="0"/>
          <w:i w:val="0"/>
          <w:color w:val="333333"/>
          <w:sz w:val="24"/>
          <w:rFonts w:eastAsia="Microsoft YaHei" w:ascii="Calibri" w:hAnsi="Calibri"/>
        </w:rPr>
        <w:t>为了防止连续帧重复输出相同手势，系统还实现了去抖动（Debouncing）机制：当连续 N 帧（N=5，即 50ms）输出的手势 ID 相同且置信度均超过阈值时，才确认输出该手势。去抖动时间窗口为 50ms，在保证响应速度的同时有效避免了手势边界的抖动误识别。此外，系统还实现了手势间隔检测——当检测到手势切换（当前帧 ID 与上一帧 ID 不同）时，强制插入 100ms 的静默期，避免手势切换瞬间的误识别。</w:t>
      </w:r>
    </w:p>
    <w:p>
      <w:pPr>
        <w:spacing w:before="280" w:after="160" w:line="312" w:lineRule="auto"/>
        <w:jc w:val="left"/>
      </w:pPr>
      <w:r>
        <w:rPr>
          <w:b/>
          <w:color w:val="333333"/>
          <w:sz w:val="28"/>
          <w:rFonts w:eastAsia="SimHei" w:ascii="SimHei" w:hAnsi="SimHei"/>
        </w:rPr>
        <w:t>6.4  验收标准</w:t>
      </w:r>
    </w:p>
    <w:p>
      <w:pPr>
        <w:spacing w:before="0" w:after="120" w:line="312" w:lineRule="auto"/>
        <w:ind w:firstLine="480"/>
        <w:jc w:val="both"/>
      </w:pPr>
      <w:r>
        <w:rPr>
          <w:b w:val="0"/>
          <w:i w:val="0"/>
          <w:color w:val="333333"/>
          <w:sz w:val="24"/>
          <w:rFonts w:eastAsia="Microsoft YaHei" w:ascii="Calibri" w:hAnsi="Calibri"/>
        </w:rPr>
        <w:t>Phase 3 的验收标准是确保 L1 边缘推理模型的实时性、准确性和资源效率满足设计要求。具体指标如下：推理延迟——在 ESP32-S3 上单次推理（含数据预处理、模型推理和后处理）的总延迟必须低于 3ms，确保不影响 100Hz 的传感器采样任务。Top-1 准确率——对 20 类简单手势（包含数字 0-9 和 10 个基本手势词汇）的 Top-1 准确率不低于 90%（在独立的测试集上评估）。内存占用——模型权重 + TFLite Micro 解释器 + 运行时缓冲区的总内存占用不超过 200KB（PSRAM），确保不影响其他任务的内存需求。连续运行稳定性——模型在连续运行 24 小时后仍能保持正常推理，无内存泄漏、无精度退化。</w:t>
      </w:r>
    </w:p>
    <w:p>
      <w:r>
        <w:br w:type="page"/>
      </w:r>
    </w:p>
    <w:p>
      <w:pPr>
        <w:spacing w:before="360" w:after="160" w:line="312" w:lineRule="auto"/>
        <w:jc w:val="left"/>
      </w:pPr>
      <w:r>
        <w:rPr>
          <w:b/>
          <w:color w:val="333333"/>
          <w:sz w:val="32"/>
          <w:rFonts w:eastAsia="SimHei" w:ascii="SimHei" w:hAnsi="SimHei"/>
        </w:rPr>
        <w:t>7  Phase 4：通信协议实现</w:t>
      </w:r>
    </w:p>
    <w:p>
      <w:pPr>
        <w:spacing w:before="0" w:after="120" w:line="312" w:lineRule="auto"/>
        <w:ind w:firstLine="480"/>
        <w:jc w:val="both"/>
      </w:pPr>
      <w:r>
        <w:rPr>
          <w:b w:val="0"/>
          <w:i w:val="0"/>
          <w:color w:val="333333"/>
          <w:sz w:val="24"/>
          <w:rFonts w:eastAsia="Microsoft YaHei" w:ascii="Calibri" w:hAnsi="Calibri"/>
        </w:rPr>
        <w:t>Phase 4 的目标是实现稳定、高效的传感器数据传输协议，连接嵌入式端和上位机。本阶段需要同时实现 BLE 5.0 和 WiFi UDP 两种通信方式，并使用 Protobuf（Protocol Buffers）作为统一的数据序列化格式。通信协议的设计需要在带宽利用率、延迟、可靠性和实现复杂度之间取得平衡。</w:t>
      </w:r>
    </w:p>
    <w:p>
      <w:pPr>
        <w:spacing w:before="280" w:after="160" w:line="312" w:lineRule="auto"/>
        <w:jc w:val="left"/>
      </w:pPr>
      <w:r>
        <w:rPr>
          <w:b/>
          <w:color w:val="333333"/>
          <w:sz w:val="28"/>
          <w:rFonts w:eastAsia="SimHei" w:ascii="SimHei" w:hAnsi="SimHei"/>
        </w:rPr>
        <w:t>7.1  Protobuf 数据帧定义</w:t>
      </w:r>
    </w:p>
    <w:p>
      <w:pPr>
        <w:spacing w:before="0" w:after="120" w:line="312" w:lineRule="auto"/>
        <w:ind w:firstLine="480"/>
        <w:jc w:val="both"/>
      </w:pPr>
      <w:r>
        <w:rPr>
          <w:b w:val="0"/>
          <w:i w:val="0"/>
          <w:color w:val="333333"/>
          <w:sz w:val="24"/>
          <w:rFonts w:eastAsia="Microsoft YaHei" w:ascii="Calibri" w:hAnsi="Calibri"/>
        </w:rPr>
        <w:t>Protobuf 是 Google 开发的高效二进制序列化协议，相比 JSON 格式具有更小的体积（通常减少 3-10 倍）和更快的序列化/反序列化速度。本项目使用 Nanopb（Protobuf 的 Nano 版本）在 ESP32-S3 上实现序列化，Nanopb 针对嵌入式系统进行了深度优化，代码体积小于 2KB，RAM 占用小于 512 字节。以下为本项目定义的核心数据帧结构 glove_data.proto：</w:t>
      </w:r>
    </w:p>
    <w:p>
      <w:pPr>
        <w:spacing w:before="120" w:after="120" w:line="240" w:lineRule="auto"/>
        <w:ind w:left="480"/>
        <w:jc w:val="left"/>
      </w:pPr>
      <w:r>
        <w:rPr>
          <w:rFonts w:ascii="Consolas" w:hAnsi="Consolas"/>
          <w:color w:val="2C3E50"/>
          <w:sz w:val="18"/>
        </w:rPr>
        <w:t>message GloveData {</w:t>
        <w:br/>
        <w:t xml:space="preserve">    uint32 timestamp = 1;             // 系统时间戳(ms)</w:t>
        <w:br/>
        <w:t xml:space="preserve">    repeated float hall_features = 2;  // 15路霍尔传感器特征</w:t>
        <w:br/>
        <w:t xml:space="preserve">    repeated float imu_features = 3;   // 6路IMU特征(3欧拉角+3陀螺仪)</w:t>
        <w:br/>
        <w:t xml:space="preserve">    repeated float flex_features = 4;  // 5路柔性传感器(预留)</w:t>
        <w:br/>
        <w:t xml:space="preserve">    uint32 l1_gesture_id = 5;          // L1推理结果:手势ID</w:t>
        <w:br/>
        <w:t xml:space="preserve">    uint32 l1_confidence_x100 = 6;     // L1置信度×100(整数)</w:t>
        <w:br/>
        <w:t>}</w:t>
      </w:r>
    </w:p>
    <w:p>
      <w:pPr>
        <w:spacing w:before="0" w:after="120" w:line="312" w:lineRule="auto"/>
        <w:ind w:firstLine="480"/>
        <w:jc w:val="both"/>
      </w:pPr>
      <w:r>
        <w:rPr>
          <w:b w:val="0"/>
          <w:i w:val="0"/>
          <w:color w:val="333333"/>
          <w:sz w:val="24"/>
          <w:rFonts w:eastAsia="Microsoft YaHei" w:ascii="Calibri" w:hAnsi="Calibri"/>
        </w:rPr>
        <w:t>GloveData 消息的设计考虑了向后兼容性和可扩展性。字段编号（field number）一旦分配不可更改，新增字段只需分配新的编号即可。repeated 关键字用于表示可变长度数组，Nanopb 会根据 .options 文件中定义的最大长度预分配内存。l1_confidence_x100 字段使用整数编码（置信度×100），避免浮点数在嵌入式和桌面端之间的精度差异问题。Nanopb 编译器会根据 .proto 文件自动生成 C 语言结构体和序列化/反序列化函数。</w:t>
      </w:r>
    </w:p>
    <w:p>
      <w:pPr>
        <w:spacing w:before="280" w:after="160" w:line="312" w:lineRule="auto"/>
        <w:jc w:val="left"/>
      </w:pPr>
      <w:r>
        <w:rPr>
          <w:b/>
          <w:color w:val="333333"/>
          <w:sz w:val="28"/>
          <w:rFonts w:eastAsia="SimHei" w:ascii="SimHei" w:hAnsi="SimHei"/>
        </w:rPr>
        <w:t>7.2  BLE 5.0 实现</w:t>
      </w:r>
    </w:p>
    <w:p>
      <w:pPr>
        <w:spacing w:before="0" w:after="120" w:line="312" w:lineRule="auto"/>
        <w:ind w:firstLine="480"/>
        <w:jc w:val="both"/>
      </w:pPr>
      <w:r>
        <w:rPr>
          <w:b w:val="0"/>
          <w:i w:val="0"/>
          <w:color w:val="333333"/>
          <w:sz w:val="24"/>
          <w:rFonts w:eastAsia="Microsoft YaHei" w:ascii="Calibri" w:hAnsi="Calibri"/>
        </w:rPr>
        <w:t>BLE 5.0 实现基于 ESP-IDF 内置的 Bluedroid 协议栈，定义了两个 GATT 服务。第一个是标准化的 Environmental Sensing Service（UUID 0x181A），包含两个 Characteristic：Sensor Data Characteristic（支持 Notify，用于主动推送传感器数据）和 Config Characteristic（支持 Read/Write，用于配置采样频率、滤波参数等）。第二个是自定义配网服务，包含一个 Write Characteristic，用于接收上位机发送的 WiFi SSID 和 Password（JSON 格式，AES-128 加密），存储到 ESP32-S3 的 NVS（Non-Volatile Storage）分区。MTU（Maximum Transmission Unit）协商目标为 512 字节，确保单帧 Protobuf 数据可以在一次 BLE 传输中完成。</w:t>
      </w:r>
    </w:p>
    <w:p>
      <w:pPr>
        <w:spacing w:before="0" w:after="120" w:line="312" w:lineRule="auto"/>
        <w:ind w:firstLine="480"/>
        <w:jc w:val="both"/>
      </w:pPr>
      <w:r>
        <w:rPr>
          <w:b w:val="0"/>
          <w:i w:val="0"/>
          <w:color w:val="333333"/>
          <w:sz w:val="24"/>
          <w:rFonts w:eastAsia="Microsoft YaHei" w:ascii="Calibri" w:hAnsi="Calibri"/>
        </w:rPr>
        <w:t>BLE 通信的关键技术要点包括：连接参数优化（Connection Interval 设为 10ms，Slave Latency 设为 0，确保最低延迟）；数据分片处理（当 Protobuf 数据超过当前 MTU 时，自动分片发送）；连接断开自动重连（指数退避策略，最大重试间隔 30 秒）；以及多客户端管理（支持同时连接一个数据接收客户端和一个配置客户端）。BLE 在 Phase 4+ 之后主要承担配网和低速备用（20Hz）的角色，高频数据传输由 WiFi UDP 接管。</w:t>
      </w:r>
    </w:p>
    <w:p>
      <w:pPr>
        <w:spacing w:before="280" w:after="160" w:line="312" w:lineRule="auto"/>
        <w:jc w:val="left"/>
      </w:pPr>
      <w:r>
        <w:rPr>
          <w:b/>
          <w:color w:val="333333"/>
          <w:sz w:val="28"/>
          <w:rFonts w:eastAsia="SimHei" w:ascii="SimHei" w:hAnsi="SimHei"/>
        </w:rPr>
        <w:t>7.3  WiFi UDP 实现（Phase 4+）</w:t>
      </w:r>
    </w:p>
    <w:p>
      <w:pPr>
        <w:spacing w:before="0" w:after="120" w:line="312" w:lineRule="auto"/>
        <w:ind w:firstLine="480"/>
        <w:jc w:val="both"/>
      </w:pPr>
      <w:r>
        <w:rPr>
          <w:b w:val="0"/>
          <w:i w:val="0"/>
          <w:color w:val="333333"/>
          <w:sz w:val="24"/>
          <w:rFonts w:eastAsia="Microsoft YaHei" w:ascii="Calibri" w:hAnsi="Calibri"/>
        </w:rPr>
        <w:t>WiFi UDP 实现基于 ESP-IDF 的 lwIP 协议栈，使用非阻塞 UDP Socket 进行数据发送。目标端口为 8888，发送频率 100Hz（与传感器采样频率同步），每帧数据为 Nanopb 序列化后的 GloveData 消息（典型大小约 80-120 字节）。UDP 协议的无连接特性意味着发送方不需要建立连接和维护连接状态，每帧数据独立发送，允许偶发丢包但不影响后续数据的传输。这种设计理念与实时渲染场景高度契合——渲染端可以容忍偶发的丢帧（下一帧数据会立即到来），但无法容忍 TCP 的重传延迟和队头阻塞问题。</w:t>
      </w:r>
    </w:p>
    <w:p>
      <w:pPr>
        <w:spacing w:before="0" w:after="120" w:line="312" w:lineRule="auto"/>
        <w:ind w:firstLine="480"/>
        <w:jc w:val="both"/>
      </w:pPr>
      <w:r>
        <w:rPr>
          <w:b w:val="0"/>
          <w:i w:val="0"/>
          <w:color w:val="333333"/>
          <w:sz w:val="24"/>
          <w:rFonts w:eastAsia="Microsoft YaHei" w:ascii="Calibri" w:hAnsi="Calibri"/>
        </w:rPr>
        <w:t>WiFi 初始化流程如下：系统启动 → 读取 NVS 中的 WiFi 凭证 → 连接 AP → 获取 IP 地址 → 创建 UDP Socket → 绑定本地端口 → 开始发送数据。如果 WiFi 连接失败（如凭证错误或 AP 不可达），系统自动降级为 BLE-only 模式，并通过 BLE 通知上位机 WiFi 不可用。WiFi 发送在 Core 0 的 Task_Comms 中执行，与 Core 1 的传感器采样任务并行运行。实际测试表明，ESP32-S3 的 WiFi UDP 发送延迟（从调用 sendto() 到数据离开天线）通常低于 1ms（局域网环境，AP 与 PC 同一交换机），完全满足实时渲染需求。</w:t>
      </w:r>
    </w:p>
    <w:p>
      <w:pPr>
        <w:spacing w:before="280" w:after="160" w:line="312" w:lineRule="auto"/>
        <w:jc w:val="left"/>
      </w:pPr>
      <w:r>
        <w:rPr>
          <w:b/>
          <w:color w:val="333333"/>
          <w:sz w:val="28"/>
          <w:rFonts w:eastAsia="SimHei" w:ascii="SimHei" w:hAnsi="SimHei"/>
        </w:rPr>
        <w:t>7.4  验收标准</w:t>
      </w:r>
    </w:p>
    <w:p>
      <w:pPr>
        <w:spacing w:before="0" w:after="120" w:line="312" w:lineRule="auto"/>
        <w:ind w:firstLine="480"/>
        <w:jc w:val="both"/>
      </w:pPr>
      <w:r>
        <w:rPr>
          <w:b w:val="0"/>
          <w:i w:val="0"/>
          <w:color w:val="333333"/>
          <w:sz w:val="24"/>
          <w:rFonts w:eastAsia="Microsoft YaHei" w:ascii="Calibri" w:hAnsi="Calibri"/>
        </w:rPr>
        <w:t>通信协议的验收标准确保数据传输的稳定性、实时性和完整性。BLE 连接在正常使用场景下保持稳定，MTU 协商成功达到 512 字节，连续运行 24 小时无断连。WiFi UDP 在局域网环境下的单帧延迟（从 ESP32-S3 发送到上位机接收）低于 5ms（包含 WiFi 传输、网络交换和 Socket 接收的总延迟）。数据帧完整率超过 99%（以 100Hz 发送频率计算，每秒允许丢失不超过 1 帧），且不出现连续丢帧（连续 3 帧以上丢帧视为通信异常）。Protobuf 序列化/反序列化在 ESP32-S3 上的执行时间低于 0.5ms。双通道切换（WiFi 不可用时自动降级为 BLE）的切换时间低于 5 秒。</w:t>
      </w:r>
    </w:p>
    <w:p>
      <w:r>
        <w:br w:type="page"/>
      </w:r>
    </w:p>
    <w:p>
      <w:pPr>
        <w:spacing w:before="360" w:after="160" w:line="312" w:lineRule="auto"/>
        <w:jc w:val="left"/>
      </w:pPr>
      <w:r>
        <w:rPr>
          <w:b/>
          <w:color w:val="333333"/>
          <w:sz w:val="32"/>
          <w:rFonts w:eastAsia="SimHei" w:ascii="SimHei" w:hAnsi="SimHei"/>
        </w:rPr>
        <w:t>8  Phase 5：L2 ST-GCN 上位机推理</w:t>
      </w:r>
    </w:p>
    <w:p>
      <w:pPr>
        <w:spacing w:before="0" w:after="120" w:line="312" w:lineRule="auto"/>
        <w:ind w:firstLine="480"/>
        <w:jc w:val="both"/>
      </w:pPr>
      <w:r>
        <w:rPr>
          <w:b w:val="0"/>
          <w:i w:val="0"/>
          <w:color w:val="333333"/>
          <w:sz w:val="24"/>
          <w:rFonts w:eastAsia="Microsoft YaHei" w:ascii="Calibri" w:hAnsi="Calibri"/>
        </w:rPr>
        <w:t>Phase 5 是项目 AI 能力的高级阶段，目标是在上位机（PC）上部署自研的时空图卷积网络（ST-GCN）模型，用于处理 L1 无法准确识别的复杂手语序列。L2 推理在计算资源和模型复杂度上不受嵌入式端的严格约束，可以使用更深层的网络结构和更大的输入窗口，从而实现更高的识别准确率。L2 模型接收的输入数据格式为 (Batch, Time=30, Landmarks=21, Coords=2)，其中 21 个关键点对应 MediaPipe Hand Landmarks 的标准定义，2D 坐标由伪骨骼映射层从 21 维传感器特征生成。</w:t>
      </w:r>
    </w:p>
    <w:p>
      <w:pPr>
        <w:spacing w:before="280" w:after="160" w:line="312" w:lineRule="auto"/>
        <w:jc w:val="left"/>
      </w:pPr>
      <w:r>
        <w:rPr>
          <w:b/>
          <w:color w:val="333333"/>
          <w:sz w:val="28"/>
          <w:rFonts w:eastAsia="SimHei" w:ascii="SimHei" w:hAnsi="SimHei"/>
        </w:rPr>
        <w:t>8.1  从 MS-GCN3 论文构建 ST-GCN</w:t>
      </w:r>
    </w:p>
    <w:p>
      <w:pPr>
        <w:spacing w:before="0" w:after="120" w:line="312" w:lineRule="auto"/>
        <w:ind w:firstLine="480"/>
        <w:jc w:val="both"/>
      </w:pPr>
      <w:r>
        <w:rPr>
          <w:b w:val="0"/>
          <w:i w:val="0"/>
          <w:color w:val="333333"/>
          <w:sz w:val="24"/>
          <w:rFonts w:eastAsia="Microsoft YaHei" w:ascii="Calibri" w:hAnsi="Calibri"/>
        </w:rPr>
        <w:t>本项目的 ST-GCN 构建基于 MS-GCN3 原始论文（"Multi-Step Graph Convolutional Network for 3D Human Pose Estimation"，发表于 CVPR），但针对可穿戴传感器数据的特点进行了多项适配和改进。需要特别强调的是，本项目不使用 OpenHands 库——该库已于 2023 年停止维护，其最新版本不支持可穿戴传感器数据格式（仅支持 MediaPipe 关键点坐标作为输入），且其图卷积实现与 MS-GCN3 论文描述存在多处不一致。因此，我们从论文的数学定义出发，使用 PyTorch 和 PyTorch Geometric 从零构建 ST-GCN。</w:t>
      </w:r>
    </w:p>
    <w:p>
      <w:pPr>
        <w:spacing w:before="0" w:after="120" w:line="312" w:lineRule="auto"/>
        <w:ind w:firstLine="480"/>
        <w:jc w:val="both"/>
      </w:pPr>
      <w:r>
        <w:rPr>
          <w:b w:val="0"/>
          <w:i w:val="0"/>
          <w:color w:val="333333"/>
          <w:sz w:val="24"/>
          <w:rFonts w:eastAsia="Microsoft YaHei" w:ascii="Calibri" w:hAnsi="Calibri"/>
        </w:rPr>
        <w:t>自研 ST-GCN 包含以下五个核心组件：第一，伪骨骼映射层（Pseudo-skeleton Mapping, Eq.16），使用线性层 nn.Linear(21, 21×2) 将 21 维传感器特征（15 路霍尔 + 6 路 IMU）映射为 21 个关键点的 2D 坐标（x, y）。该映射层在训练过程中通过反向传播自动学习传感器特征到骨骼关键点的最优映射关系，无需手动标定。第二，空间图卷积层（Spatial Graph Convolution），基于手部骨骼拓扑构建邻接矩阵 A ∈ R^21×21（包含自环连接），使用图卷积操作在相邻关节之间传递特征信息。邻接矩阵根据手部解剖结构定义：拇指（关键点 1-4）→ 食指（5-8）→ 中指（9-12）→ 无名指（13-16）→ 小指（17-20）→ 手腕（0），各手指的近端关节（MCP）连接到手腕。</w:t>
      </w:r>
    </w:p>
    <w:p>
      <w:pPr>
        <w:spacing w:before="0" w:after="120" w:line="312" w:lineRule="auto"/>
        <w:ind w:firstLine="480"/>
        <w:jc w:val="both"/>
      </w:pPr>
      <w:r>
        <w:rPr>
          <w:b w:val="0"/>
          <w:i w:val="0"/>
          <w:color w:val="333333"/>
          <w:sz w:val="24"/>
          <w:rFonts w:eastAsia="Microsoft YaHei" w:ascii="Calibri" w:hAnsi="Calibri"/>
        </w:rPr>
        <w:t>第三，时间卷积层（Temporal Convolution），使用一维扩张卷积（Dilated Convolution）捕获不同时间尺度的时序依赖。扩张率设置为 [1, 2, 4]，对应的感受野分别为 3、5、9 帧，能够同时捕捉短时手势细节和长时手势上下文。第四，ST-Conv Block，将空间图卷积和时间卷积组合为残差块，结构为：输入 → BN → ReLU → SpatialConv → BN → ReLU → TemporalConv → BN → + 残差连接 → ReLU。残差连接通过 1×1 卷积调整通道维度（当输入和输出维度不同时），有效缓解深层网络的梯度消失问题。第五，注意力池化层（Attention Pooling），使用通道注意力机制（SE-Net 风格）聚合时序特征，输出维度为 (Batch, Hidden)，然后通过全连接层映射到 46 维手势分类 logits。</w:t>
      </w:r>
    </w:p>
    <w:p>
      <w:pPr>
        <w:spacing w:before="280" w:after="160" w:line="312" w:lineRule="auto"/>
        <w:jc w:val="left"/>
      </w:pPr>
      <w:r>
        <w:rPr>
          <w:b/>
          <w:color w:val="333333"/>
          <w:sz w:val="28"/>
          <w:rFonts w:eastAsia="SimHei" w:ascii="SimHei" w:hAnsi="SimHei"/>
        </w:rPr>
        <w:t>8.2  手部骨骼图定义</w:t>
      </w:r>
    </w:p>
    <w:p>
      <w:pPr>
        <w:spacing w:before="0" w:after="120" w:line="312" w:lineRule="auto"/>
        <w:ind w:firstLine="480"/>
        <w:jc w:val="both"/>
      </w:pPr>
      <w:r>
        <w:rPr>
          <w:b w:val="0"/>
          <w:i w:val="0"/>
          <w:color w:val="333333"/>
          <w:sz w:val="24"/>
          <w:rFonts w:eastAsia="Microsoft YaHei" w:ascii="Calibri" w:hAnsi="Calibri"/>
        </w:rPr>
        <w:t>手部骨骼图是 ST-GCN 空间图卷积的基础，定义了 21 个关键点之间的连接关系（即图的边）。本项目的关键点定义参考 MediaPipe Hand Landmarks 标准，包括手腕（WRIST, ID=0）、拇指 CMC（1）、拇指 MCP（2）、拇指 IP（3）、拇指 TIP（4）、食指 MCP（5）、食指 PIP（6）、食指 DIP（7）、食指 TIP（8）、中指 MCP（9）、中指 PIP（10）、中指 DIP（11）、中指 TIP（12）、无名指 MCP（13）、无名指 PIP（14）、无名指 DIP（15）、无名指 TIP（16）、小指 MCP（17）、小指 PIP（18）、小指 DIP（19）、小指 TIP（20）。</w:t>
      </w:r>
    </w:p>
    <w:p>
      <w:pPr>
        <w:spacing w:before="0" w:after="120" w:line="312" w:lineRule="auto"/>
        <w:ind w:firstLine="480"/>
        <w:jc w:val="both"/>
      </w:pPr>
      <w:r>
        <w:rPr>
          <w:b w:val="0"/>
          <w:i w:val="0"/>
          <w:color w:val="333333"/>
          <w:sz w:val="24"/>
          <w:rFonts w:eastAsia="Microsoft YaHei" w:ascii="Calibri" w:hAnsi="Calibri"/>
        </w:rPr>
        <w:t>邻接矩阵 A ∈ R^21×21 的构建规则如下：对角线元素 A[i][i] = 1（自环连接，允许每个节点保留自身信息）；相邻关节之间 A[i][j] = A[j][i] = 1（无向边，信息双向传播）。具体的边连接关系为：手腕-拇指CMC、拇指CMC-拇指MCP-拇指IP-拇指TIP（拇指链）；手腕-食指MCP-食指PIP-食指DIP-食指TIP（食指链）；手腕-中指MCP-中指PIP-中指DIP-中指TIP（中指链）；手腕-无名指MCP-无名指PIP-无名指DIP-无名指TIP（无名指链）；手腕-小指MCP-小指PIP-小指DIP-小指TIP（小指链）。此外，还可以添加手掌内部连接（如食指MCP-中指MCP-无名指MCP-小指MCP）以增强空间信息的传播能力。邻接矩阵在模型初始化时固定，不参与训练（或可选地作为可学习参数）。</w:t>
      </w:r>
    </w:p>
    <w:p>
      <w:pPr>
        <w:spacing w:before="280" w:after="160" w:line="312" w:lineRule="auto"/>
        <w:jc w:val="left"/>
      </w:pPr>
      <w:r>
        <w:rPr>
          <w:b/>
          <w:color w:val="333333"/>
          <w:sz w:val="28"/>
          <w:rFonts w:eastAsia="SimHei" w:ascii="SimHei" w:hAnsi="SimHei"/>
        </w:rPr>
        <w:t>8.3  训练数据准备</w:t>
      </w:r>
    </w:p>
    <w:p>
      <w:pPr>
        <w:spacing w:before="0" w:after="120" w:line="312" w:lineRule="auto"/>
        <w:ind w:firstLine="480"/>
        <w:jc w:val="both"/>
      </w:pPr>
      <w:r>
        <w:rPr>
          <w:b w:val="0"/>
          <w:i w:val="0"/>
          <w:color w:val="333333"/>
          <w:sz w:val="24"/>
          <w:rFonts w:eastAsia="Microsoft YaHei" w:ascii="Calibri" w:hAnsi="Calibri"/>
        </w:rPr>
        <w:t>L2 模型的训练数据格式为 (Batch, Time=30, Landmarks=21, Coords=2)，即每个样本包含 30 个时间步、21 个关键点、每个关键点 2D 坐标。数据来源于 Phase 2 阶段采集的传感器数据，经过伪骨骼映射层（如果使用端到端训练则直接输入传感器特征）或离线映射后生成骨骼关键点序列。数据集按照 70/15/15 的比例划分为训练集、验证集和测试集，划分时确保同一使用者的数据不会同时出现在训练集和测试集中（Stratified Split by Subject），以评估模型的跨人泛化能力。</w:t>
      </w:r>
    </w:p>
    <w:p>
      <w:pPr>
        <w:spacing w:before="0" w:after="120" w:line="312" w:lineRule="auto"/>
        <w:ind w:firstLine="480"/>
        <w:jc w:val="both"/>
      </w:pPr>
      <w:r>
        <w:rPr>
          <w:b w:val="0"/>
          <w:i w:val="0"/>
          <w:color w:val="333333"/>
          <w:sz w:val="24"/>
          <w:rFonts w:eastAsia="Microsoft YaHei" w:ascii="Calibri" w:hAnsi="Calibri"/>
        </w:rPr>
        <w:t>数据增强策略是提升模型泛化能力的关键手段，本项目采用以下三种增强方法：随机时移（Random Temporal Shift），将整个手势序列在时间轴上随机偏移 ±5 帧，模拟手势起始时间的自然变化；高斯噪声（Gaussian Noise），在坐标值上叠加 N(0, 0.01) 的随机噪声，模拟传感器测量误差；时间遮蔽（Temporal Masking），随机遮蔽连续 3-5 帧的数据（置零），模拟偶发的传感器数据丢失。三种增强方法以 50% 的概率随机应用，且可以叠加。数据增强仅应用于训练集，验证集和测试集使用原始数据。</w:t>
      </w:r>
    </w:p>
    <w:p>
      <w:pPr>
        <w:spacing w:before="280" w:after="160" w:line="312" w:lineRule="auto"/>
        <w:jc w:val="left"/>
      </w:pPr>
      <w:r>
        <w:rPr>
          <w:b/>
          <w:color w:val="333333"/>
          <w:sz w:val="28"/>
          <w:rFonts w:eastAsia="SimHei" w:ascii="SimHei" w:hAnsi="SimHei"/>
        </w:rPr>
        <w:t>8.4  模型训练配置</w:t>
      </w:r>
    </w:p>
    <w:tbl>
      <w:tblPr>
        <w:tblW w:type="auto" w:w="0"/>
        <w:jc w:val="center"/>
        <w:tblLayout w:type="autofit"/>
        <w:tblLook w:firstColumn="1" w:firstRow="1" w:lastColumn="0" w:lastRow="0" w:noHBand="0" w:noVBand="1" w:val="04A0"/>
      </w:tblPr>
      <w:tblGrid>
        <w:gridCol w:w="2929"/>
        <w:gridCol w:w="2929"/>
        <w:gridCol w:w="2929"/>
      </w:tblGrid>
      <w:tr>
        <w:tc>
          <w:tcPr>
            <w:tcW w:type="dxa" w:w="2929"/>
            <w:vAlign w:val="center"/>
            <w:shd w:fill="1A2330"/>
            <w:tcBorders>
              <w:top w:val="single" w:sz="4" w:space="0" w:color="1A2330"/>
              <w:bottom w:val="single" w:sz="4" w:space="0" w:color="1A2330"/>
              <w:left w:val="single" w:sz="4" w:space="0" w:color="1A2330"/>
              <w:right w:val="single" w:sz="4" w:space="0" w:color="1A2330"/>
            </w:tcBorders>
          </w:tcPr>
          <w:p>
            <w:pPr>
              <w:jc w:val="center"/>
            </w:pPr>
            <w:r/>
            <w:r>
              <w:rPr>
                <w:b/>
                <w:color w:val="FFFFFF"/>
                <w:sz w:val="20"/>
              </w:rPr>
              <w:t>超参数</w:t>
            </w:r>
          </w:p>
        </w:tc>
        <w:tc>
          <w:tcPr>
            <w:tcW w:type="dxa" w:w="2929"/>
            <w:vAlign w:val="center"/>
            <w:shd w:fill="1A2330"/>
            <w:tcBorders>
              <w:top w:val="single" w:sz="4" w:space="0" w:color="1A2330"/>
              <w:bottom w:val="single" w:sz="4" w:space="0" w:color="1A2330"/>
              <w:left w:val="single" w:sz="4" w:space="0" w:color="1A2330"/>
              <w:right w:val="single" w:sz="4" w:space="0" w:color="1A2330"/>
            </w:tcBorders>
          </w:tcPr>
          <w:p>
            <w:pPr>
              <w:jc w:val="center"/>
            </w:pPr>
            <w:r/>
            <w:r>
              <w:rPr>
                <w:b/>
                <w:color w:val="FFFFFF"/>
                <w:sz w:val="20"/>
              </w:rPr>
              <w:t>值</w:t>
            </w:r>
          </w:p>
        </w:tc>
        <w:tc>
          <w:tcPr>
            <w:tcW w:type="dxa" w:w="2929"/>
            <w:vAlign w:val="center"/>
            <w:shd w:fill="1A2330"/>
            <w:tcBorders>
              <w:top w:val="single" w:sz="4" w:space="0" w:color="1A2330"/>
              <w:bottom w:val="single" w:sz="4" w:space="0" w:color="1A2330"/>
              <w:left w:val="single" w:sz="4" w:space="0" w:color="1A2330"/>
              <w:right w:val="single" w:sz="4" w:space="0" w:color="1A2330"/>
            </w:tcBorders>
          </w:tcPr>
          <w:p>
            <w:pPr>
              <w:jc w:val="center"/>
            </w:pPr>
            <w:r/>
            <w:r>
              <w:rPr>
                <w:b/>
                <w:color w:val="FFFFFF"/>
                <w:sz w:val="20"/>
              </w:rPr>
              <w:t>说明</w:t>
            </w:r>
          </w:p>
        </w:tc>
      </w:tr>
      <w:tr>
        <w:tc>
          <w:tcPr>
            <w:tcW w:type="dxa" w:w="2929"/>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优化器</w:t>
            </w:r>
          </w:p>
        </w:tc>
        <w:tc>
          <w:tcPr>
            <w:tcW w:type="dxa" w:w="2929"/>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AdamW</w:t>
            </w:r>
          </w:p>
        </w:tc>
        <w:tc>
          <w:tcPr>
            <w:tcW w:type="dxa" w:w="2929"/>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Adam + 解耦权重衰减</w:t>
            </w:r>
          </w:p>
        </w:tc>
      </w:tr>
      <w:tr>
        <w:tc>
          <w:tcPr>
            <w:tcW w:type="dxa" w:w="2929"/>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学习率</w:t>
            </w:r>
          </w:p>
        </w:tc>
        <w:tc>
          <w:tcPr>
            <w:tcW w:type="dxa" w:w="2929"/>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1e-3</w:t>
            </w:r>
          </w:p>
        </w:tc>
        <w:tc>
          <w:tcPr>
            <w:tcW w:type="dxa" w:w="2929"/>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初始学习率</w:t>
            </w:r>
          </w:p>
        </w:tc>
      </w:tr>
      <w:tr>
        <w:tc>
          <w:tcPr>
            <w:tcW w:type="dxa" w:w="2929"/>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权重衰减</w:t>
            </w:r>
          </w:p>
        </w:tc>
        <w:tc>
          <w:tcPr>
            <w:tcW w:type="dxa" w:w="2929"/>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1e-4</w:t>
            </w:r>
          </w:p>
        </w:tc>
        <w:tc>
          <w:tcPr>
            <w:tcW w:type="dxa" w:w="2929"/>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防止过拟合</w:t>
            </w:r>
          </w:p>
        </w:tc>
      </w:tr>
      <w:tr>
        <w:tc>
          <w:tcPr>
            <w:tcW w:type="dxa" w:w="2929"/>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学习率调度</w:t>
            </w:r>
          </w:p>
        </w:tc>
        <w:tc>
          <w:tcPr>
            <w:tcW w:type="dxa" w:w="2929"/>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CosineAnnealingLR</w:t>
            </w:r>
          </w:p>
        </w:tc>
        <w:tc>
          <w:tcPr>
            <w:tcW w:type="dxa" w:w="2929"/>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余弦退火, T_max=200</w:t>
            </w:r>
          </w:p>
        </w:tc>
      </w:tr>
      <w:tr>
        <w:tc>
          <w:tcPr>
            <w:tcW w:type="dxa" w:w="2929"/>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损失函数</w:t>
            </w:r>
          </w:p>
        </w:tc>
        <w:tc>
          <w:tcPr>
            <w:tcW w:type="dxa" w:w="2929"/>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CrossEntropyLoss + LabelSmoothing(0.1)</w:t>
            </w:r>
          </w:p>
        </w:tc>
        <w:tc>
          <w:tcPr>
            <w:tcW w:type="dxa" w:w="2929"/>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标签平滑防止过拟合</w:t>
            </w:r>
          </w:p>
        </w:tc>
      </w:tr>
      <w:tr>
        <w:tc>
          <w:tcPr>
            <w:tcW w:type="dxa" w:w="2929"/>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训练轮次</w:t>
            </w:r>
          </w:p>
        </w:tc>
        <w:tc>
          <w:tcPr>
            <w:tcW w:type="dxa" w:w="2929"/>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200 epochs</w:t>
            </w:r>
          </w:p>
        </w:tc>
        <w:tc>
          <w:tcPr>
            <w:tcW w:type="dxa" w:w="2929"/>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含早停机制</w:t>
            </w:r>
          </w:p>
        </w:tc>
      </w:tr>
      <w:tr>
        <w:tc>
          <w:tcPr>
            <w:tcW w:type="dxa" w:w="2929"/>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早停 patience</w:t>
            </w:r>
          </w:p>
        </w:tc>
        <w:tc>
          <w:tcPr>
            <w:tcW w:type="dxa" w:w="2929"/>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20</w:t>
            </w:r>
          </w:p>
        </w:tc>
        <w:tc>
          <w:tcPr>
            <w:tcW w:type="dxa" w:w="2929"/>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验证集loss无改善则停止</w:t>
            </w:r>
          </w:p>
        </w:tc>
      </w:tr>
      <w:tr>
        <w:tc>
          <w:tcPr>
            <w:tcW w:type="dxa" w:w="2929"/>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批大小</w:t>
            </w:r>
          </w:p>
        </w:tc>
        <w:tc>
          <w:tcPr>
            <w:tcW w:type="dxa" w:w="2929"/>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64</w:t>
            </w:r>
          </w:p>
        </w:tc>
        <w:tc>
          <w:tcPr>
            <w:tcW w:type="dxa" w:w="2929"/>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GPU显存允许的情况下</w:t>
            </w:r>
          </w:p>
        </w:tc>
      </w:tr>
      <w:tr>
        <w:tc>
          <w:tcPr>
            <w:tcW w:type="dxa" w:w="2929"/>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GPU</w:t>
            </w:r>
          </w:p>
        </w:tc>
        <w:tc>
          <w:tcPr>
            <w:tcW w:type="dxa" w:w="2929"/>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NVIDIA RTX 3060+</w:t>
            </w:r>
          </w:p>
        </w:tc>
        <w:tc>
          <w:tcPr>
            <w:tcW w:type="dxa" w:w="2929"/>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建议12GB+显存</w:t>
            </w:r>
          </w:p>
        </w:tc>
      </w:tr>
    </w:tbl>
    <w:p>
      <w:pPr>
        <w:spacing w:before="160"/>
      </w:pPr>
    </w:p>
    <w:p>
      <w:pPr>
        <w:spacing w:before="0" w:after="120" w:line="312" w:lineRule="auto"/>
        <w:ind w:firstLine="480"/>
        <w:jc w:val="both"/>
      </w:pPr>
      <w:r>
        <w:rPr>
          <w:b w:val="0"/>
          <w:i w:val="0"/>
          <w:color w:val="333333"/>
          <w:sz w:val="24"/>
          <w:rFonts w:eastAsia="Microsoft YaHei" w:ascii="Calibri" w:hAnsi="Calibri"/>
        </w:rPr>
        <w:t>训练过程使用 Weights &amp; Biases（W&amp;B）进行实验跟踪和可视化，记录每个 epoch 的训练损失、验证损失、Top-1/Top-5 准确率、学习率和梯度范数。模型检查点在每个 epoch 结束后保存，当验证集 Top-1 准确率超过历史最佳时，保存为 best_model.pt。训练完成后，在独立测试集上评估最终模型的性能，生成混淆矩阵和分类报告（精确率、召回率、F1 值）。此外，还进行消融实验（Ablation Study）验证各组件（伪骨骼映射、空间图卷积、时间卷积、注意力池化）的贡献度。</w:t>
      </w:r>
    </w:p>
    <w:p>
      <w:pPr>
        <w:spacing w:before="280" w:after="160" w:line="312" w:lineRule="auto"/>
        <w:jc w:val="left"/>
      </w:pPr>
      <w:r>
        <w:rPr>
          <w:b/>
          <w:color w:val="333333"/>
          <w:sz w:val="28"/>
          <w:rFonts w:eastAsia="SimHei" w:ascii="SimHei" w:hAnsi="SimHei"/>
        </w:rPr>
        <w:t>8.5  验收标准</w:t>
      </w:r>
    </w:p>
    <w:p>
      <w:pPr>
        <w:spacing w:before="0" w:after="120" w:line="312" w:lineRule="auto"/>
        <w:ind w:firstLine="480"/>
        <w:jc w:val="both"/>
      </w:pPr>
      <w:r>
        <w:rPr>
          <w:b w:val="0"/>
          <w:i w:val="0"/>
          <w:color w:val="333333"/>
          <w:sz w:val="24"/>
          <w:rFonts w:eastAsia="Microsoft YaHei" w:ascii="Calibri" w:hAnsi="Calibri"/>
        </w:rPr>
        <w:t>L2 ST-GCN 模型的验收标准如下：Top-1 准确率——对完整 46 类中国手语词汇的 Top-1 准确率不低于 95%（在独立测试集上评估，测试集包含至少 5 名不同使用者的数据）。Top-5 准确率——不低于 99%。推理延迟——在 GPU（RTX 3060）上单次推理延迟低于 10ms；在 CPU（Intel i5-12400）上单次推理延迟低于 20ms。模型大小——FP32 模型不超过 50MB，ONNX 导出模型不超过 25MB。跨人泛化能力——在未见过的使用者数据上，Top-1 准确率不低于 85%（与训练集使用者的 Top-1 准确率相比，下降不超过 10 个百分点）。</w:t>
      </w:r>
    </w:p>
    <w:p>
      <w:r>
        <w:br w:type="page"/>
      </w:r>
    </w:p>
    <w:p>
      <w:pPr>
        <w:spacing w:before="360" w:after="160" w:line="312" w:lineRule="auto"/>
        <w:jc w:val="left"/>
      </w:pPr>
      <w:r>
        <w:rPr>
          <w:b/>
          <w:color w:val="333333"/>
          <w:sz w:val="32"/>
          <w:rFonts w:eastAsia="SimHei" w:ascii="SimHei" w:hAnsi="SimHei"/>
        </w:rPr>
        <w:t>9  Phase 6：NLP 语法纠错与语音合成</w:t>
      </w:r>
    </w:p>
    <w:p>
      <w:pPr>
        <w:spacing w:before="0" w:after="120" w:line="312" w:lineRule="auto"/>
        <w:ind w:firstLine="480"/>
        <w:jc w:val="both"/>
      </w:pPr>
      <w:r>
        <w:rPr>
          <w:b w:val="0"/>
          <w:i w:val="0"/>
          <w:color w:val="333333"/>
          <w:sz w:val="24"/>
          <w:rFonts w:eastAsia="Microsoft YaHei" w:ascii="Calibri" w:hAnsi="Calibri"/>
        </w:rPr>
        <w:t>Phase 6 的目标是将手势识别结果（离散的手势词汇序列）转换为自然流畅的中文句子，并通过语音合成（Text-to-Speech, TTS）模块进行语音输出。该阶段是系统面向最终用户的核心交互环节，直接影响用户的使用体验和系统的实用性。手语翻译不是简单的「词对词」翻译，而是涉及语法结构转换和语义理解的自然语言处理任务。中国手语（Chinese Sign Language, CSL）和中文普通话在语法结构上存在显著差异，需要专门的语法纠错模块进行转换。</w:t>
      </w:r>
    </w:p>
    <w:p>
      <w:pPr>
        <w:spacing w:before="280" w:after="160" w:line="312" w:lineRule="auto"/>
        <w:jc w:val="left"/>
      </w:pPr>
      <w:r>
        <w:rPr>
          <w:b/>
          <w:color w:val="333333"/>
          <w:sz w:val="28"/>
          <w:rFonts w:eastAsia="SimHei" w:ascii="SimHei" w:hAnsi="SimHei"/>
        </w:rPr>
        <w:t>9.1  手语语法特点分析</w:t>
      </w:r>
    </w:p>
    <w:p>
      <w:pPr>
        <w:spacing w:before="0" w:after="120" w:line="312" w:lineRule="auto"/>
        <w:ind w:firstLine="480"/>
        <w:jc w:val="both"/>
      </w:pPr>
      <w:r>
        <w:rPr>
          <w:b w:val="0"/>
          <w:i w:val="0"/>
          <w:color w:val="333333"/>
          <w:sz w:val="24"/>
          <w:rFonts w:eastAsia="Microsoft YaHei" w:ascii="Calibri" w:hAnsi="Calibri"/>
        </w:rPr>
        <w:t>中国手语（CSL）作为一种视觉-空间语言，其语法结构与有声语言（如中文普通话）存在本质差异。最显著的差异在于语序：CSL 主要使用 SOV（主语-宾语-谓语）语序，而中文普通话使用 SVO（主语-谓语-宾语）语序。例如，手语表达「我-苹果-吃」对应中文「我吃苹果」。然而，CSL 的语法规则远不止简单的语序重排——CSL 还具有以下特点：话题优先结构（Topic-prominent Structure），即经常将话题放在句首，然后添加评论；时间/地点状语前置于动词之前（如「昨天-学校-我-去」对应中文「昨天我去了学校」）；否定词前置于动词（如「不-去」对应中文「不去」或「没有去」）；以及丰富的面部表情和身体姿态作为语法标记（如疑问表情表示疑问句，摇头表示否定）。</w:t>
      </w:r>
    </w:p>
    <w:p>
      <w:pPr>
        <w:spacing w:before="0" w:after="120" w:line="312" w:lineRule="auto"/>
        <w:ind w:firstLine="480"/>
        <w:jc w:val="both"/>
      </w:pPr>
      <w:r>
        <w:rPr>
          <w:b w:val="0"/>
          <w:i w:val="0"/>
          <w:color w:val="333333"/>
          <w:sz w:val="24"/>
          <w:rFonts w:eastAsia="Microsoft YaHei" w:ascii="Calibri" w:hAnsi="Calibri"/>
        </w:rPr>
        <w:t>本系统的 NLP 模块需要在有限的计算资源下（运行在上位机 Python 环境中，不依赖大型云端 NLP 模型）实现从 CSL 语法到中文语法的合理转换。初期目标是处理最常见的语法差异（SOV→SVO 语序转换、否定词位置调整、时态标记添加），后期可扩展为更完善的基于 Transformer 的语法纠错模型。</w:t>
      </w:r>
    </w:p>
    <w:p>
      <w:pPr>
        <w:spacing w:before="280" w:after="160" w:line="312" w:lineRule="auto"/>
        <w:jc w:val="left"/>
      </w:pPr>
      <w:r>
        <w:rPr>
          <w:b/>
          <w:color w:val="333333"/>
          <w:sz w:val="28"/>
          <w:rFonts w:eastAsia="SimHei" w:ascii="SimHei" w:hAnsi="SimHei"/>
        </w:rPr>
        <w:t>9.2  语法纠错策略</w:t>
      </w:r>
    </w:p>
    <w:p>
      <w:pPr>
        <w:spacing w:before="0" w:after="120" w:line="312" w:lineRule="auto"/>
        <w:ind w:firstLine="480"/>
        <w:jc w:val="both"/>
      </w:pPr>
      <w:r>
        <w:rPr>
          <w:b w:val="0"/>
          <w:i w:val="0"/>
          <w:color w:val="333333"/>
          <w:sz w:val="24"/>
          <w:rFonts w:eastAsia="Microsoft YaHei" w:ascii="Calibri" w:hAnsi="Calibri"/>
        </w:rPr>
        <w:t>语法纠错模块采用「规则库 + 模型」的混合策略，分为三个层次实现。基础层：基于规则库的模板匹配。建立 SOV→SVO 语序转换模板库，包含最常见的 50-100 种句式模式。例如，检测到「名词-名词-动词」模式时，自动重排为「名词-动词-名词」。否定词位置模板：检测到否定词出现在动词之后时，将其移至动词之前。时态模板：根据上下文添加时间词（如「了」「过」「正在」）。基础层的优势是速度快（O(n) 复杂度）、可解释性强、不需要训练数据；劣势是覆盖面有限，无法处理复杂的嵌套句式。</w:t>
      </w:r>
    </w:p>
    <w:p>
      <w:pPr>
        <w:spacing w:before="0" w:after="120" w:line="312" w:lineRule="auto"/>
        <w:ind w:firstLine="480"/>
        <w:jc w:val="both"/>
      </w:pPr>
      <w:r>
        <w:rPr>
          <w:b w:val="0"/>
          <w:i w:val="0"/>
          <w:color w:val="333333"/>
          <w:sz w:val="24"/>
          <w:rFonts w:eastAsia="Microsoft YaHei" w:ascii="Calibri" w:hAnsi="Calibri"/>
        </w:rPr>
        <w:t>进阶层：轻量级 Transformer 模型。使用 DistilBERT 或类似的小型预训练模型（约 66M 参数），在 CSL→中文平行语料上进行微调（Fine-tuning）。模型输入为手势识别结果序列（以空格分隔的手势 ID 或词汇），输出为语法纠正后的中文句子。进阶层能够处理基础规则库无法覆盖的复杂语法现象，但需要一定规模的平行语料（建议至少 5000 对 CSL-中文平行句子）。上下文层：滑动窗口句子级纠错。维护一个最近 N 个手势的滑动窗口（N=50），在窗口范围内进行跨句子的上下文纠错。例如，如果前一个手势是「你」，后一个手势是「谢谢」，系统可以推断这是一个问答场景，输出「谢谢」。此外，还建立了手语词汇→中文词汇的映射词典（包含约 500 个常用手语词汇的中文翻译），用于将手势 ID 转换为中文词汇。</w:t>
      </w:r>
    </w:p>
    <w:p>
      <w:pPr>
        <w:spacing w:before="280" w:after="160" w:line="312" w:lineRule="auto"/>
        <w:jc w:val="left"/>
      </w:pPr>
      <w:r>
        <w:rPr>
          <w:b/>
          <w:color w:val="333333"/>
          <w:sz w:val="28"/>
          <w:rFonts w:eastAsia="SimHei" w:ascii="SimHei" w:hAnsi="SimHei"/>
        </w:rPr>
        <w:t>9.3  语音合成实现</w:t>
      </w:r>
    </w:p>
    <w:p>
      <w:pPr>
        <w:spacing w:before="0" w:after="120" w:line="312" w:lineRule="auto"/>
        <w:ind w:firstLine="480"/>
        <w:jc w:val="both"/>
      </w:pPr>
      <w:r>
        <w:rPr>
          <w:b w:val="0"/>
          <w:i w:val="0"/>
          <w:color w:val="333333"/>
          <w:sz w:val="24"/>
          <w:rFonts w:eastAsia="Microsoft YaHei" w:ascii="Calibri" w:hAnsi="Calibri"/>
        </w:rPr>
        <w:t>语音合成模块采用微软的 edge-tts 库，该库基于 Azure Cognitive Services 的神经网络语音合成技术，完全免费且无需 API 密钥（使用 Microsoft Edge 浏览器的在线 TTS 服务）。edge-tts 支持多种高质量的中文语音：zh-CN-XiaoxiaoNeural（女声，自然流畅，适合日常场景）、zh-CN-YunxiNeural（男声，温暖亲切）、zh-CN-XiaoyiNeural（女声，活泼可爱）。用户可以在设置中选择偏好的语音和语速。</w:t>
      </w:r>
    </w:p>
    <w:p>
      <w:pPr>
        <w:spacing w:before="0" w:after="120" w:line="312" w:lineRule="auto"/>
        <w:ind w:firstLine="480"/>
        <w:jc w:val="both"/>
      </w:pPr>
      <w:r>
        <w:rPr>
          <w:b w:val="0"/>
          <w:i w:val="0"/>
          <w:color w:val="333333"/>
          <w:sz w:val="24"/>
          <w:rFonts w:eastAsia="Microsoft YaHei" w:ascii="Calibri" w:hAnsi="Calibri"/>
        </w:rPr>
        <w:t>语音合成采用异步队列架构，避免阻塞主线程。当语法纠错模块输出中文句子后，将句子推入 TTS 任务队列，后台线程从队列中取出句子并调用 edge-tts 生成语音音频（MP3 格式），然后通过系统音频输出设备播放。常用短语（如「你好」「谢谢」「再见」等高频手语词汇）的语音音频在系统启动时预缓存到内存中，避免每次都需要调用 edge-tts API，从而将常用短语的 TTS 延迟降低到接近零。edge-tts 的典型延迟为 200-500ms（取决于句子长度和网络状况），对于一般手语对话场景（句子长度 5-15 个字），端到端延迟完全在可接受范围内。</w:t>
      </w:r>
    </w:p>
    <w:p>
      <w:pPr>
        <w:spacing w:before="280" w:after="160" w:line="312" w:lineRule="auto"/>
        <w:jc w:val="left"/>
      </w:pPr>
      <w:r>
        <w:rPr>
          <w:b/>
          <w:color w:val="333333"/>
          <w:sz w:val="28"/>
          <w:rFonts w:eastAsia="SimHei" w:ascii="SimHei" w:hAnsi="SimHei"/>
        </w:rPr>
        <w:t>9.4  验收标准</w:t>
      </w:r>
    </w:p>
    <w:p>
      <w:pPr>
        <w:spacing w:before="0" w:after="120" w:line="312" w:lineRule="auto"/>
        <w:ind w:firstLine="480"/>
        <w:jc w:val="both"/>
      </w:pPr>
      <w:r>
        <w:rPr>
          <w:b w:val="0"/>
          <w:i w:val="0"/>
          <w:color w:val="333333"/>
          <w:sz w:val="24"/>
          <w:rFonts w:eastAsia="Microsoft YaHei" w:ascii="Calibri" w:hAnsi="Calibri"/>
        </w:rPr>
        <w:t>Phase 6 的验收标准确保 NLP 和 TTS 模块能够为用户提供流畅自然的手语翻译体验。语法纠错模块对常见 CSL 句式的转换准确率不低于 85%（在人工标注的测试集上评估，测试集包含 200 个 CSL-中文平行句子）。TTS 延迟——从语法纠错完成到语音开始播放的延迟低于 500ms（常用短语低于 50ms）。语音自然度——TTS 输出的语音自然度 MOS（Mean Opinion Score）评分不低于 4.0（5 分制，由 10 名以上的评测人员打分取平均）。端到端翻译延迟——从手势完成（L2 推理输出）到语音播放开始的延迟低于 1 秒。</w:t>
      </w:r>
    </w:p>
    <w:p>
      <w:r>
        <w:br w:type="page"/>
      </w:r>
    </w:p>
    <w:p>
      <w:pPr>
        <w:spacing w:before="360" w:after="160" w:line="312" w:lineRule="auto"/>
        <w:jc w:val="left"/>
      </w:pPr>
      <w:r>
        <w:rPr>
          <w:b/>
          <w:color w:val="333333"/>
          <w:sz w:val="32"/>
          <w:rFonts w:eastAsia="SimHei" w:ascii="SimHei" w:hAnsi="SimHei"/>
        </w:rPr>
        <w:t>10  Phase 7：渲染层开发</w:t>
      </w:r>
    </w:p>
    <w:p>
      <w:pPr>
        <w:spacing w:before="0" w:after="120" w:line="312" w:lineRule="auto"/>
        <w:ind w:firstLine="480"/>
        <w:jc w:val="both"/>
      </w:pPr>
      <w:r>
        <w:rPr>
          <w:b w:val="0"/>
          <w:i w:val="0"/>
          <w:color w:val="333333"/>
          <w:sz w:val="24"/>
          <w:rFonts w:eastAsia="Microsoft YaHei" w:ascii="Calibri" w:hAnsi="Calibri"/>
        </w:rPr>
        <w:t>Phase 7 是项目的视觉呈现层开发阶段，目标是将传感器数据和手势识别结果以三维可视化的形式实时呈现给用户。渲染层不仅是系统的「面子工程」，更是验证数据手套工作正确性的关键工具——通过观察 3D 手部模型是否与实际手部动作一致，开发者可以快速发现传感器标定、特征映射和模型推理中的问题。本阶段的渲染方案按照三阶段渐进式演进策略实施，从快速 MVP 到专业级渲染，逐步提升视觉品质和交互体验。</w:t>
      </w:r>
    </w:p>
    <w:p>
      <w:pPr>
        <w:spacing w:before="280" w:after="160" w:line="312" w:lineRule="auto"/>
        <w:jc w:val="left"/>
      </w:pPr>
      <w:r>
        <w:rPr>
          <w:b/>
          <w:color w:val="333333"/>
          <w:sz w:val="28"/>
          <w:rFonts w:eastAsia="SimHei" w:ascii="SimHei" w:hAnsi="SimHei"/>
        </w:rPr>
        <w:t>10.1  Phase 2 MVP：Tauri + R3F</w:t>
      </w:r>
    </w:p>
    <w:p>
      <w:pPr>
        <w:spacing w:before="0" w:after="120" w:line="312" w:lineRule="auto"/>
        <w:ind w:firstLine="480"/>
        <w:jc w:val="both"/>
      </w:pPr>
      <w:r>
        <w:rPr>
          <w:b w:val="0"/>
          <w:i w:val="0"/>
          <w:color w:val="333333"/>
          <w:sz w:val="24"/>
          <w:rFonts w:eastAsia="Microsoft YaHei" w:ascii="Calibri" w:hAnsi="Calibri"/>
        </w:rPr>
        <w:t>Tauri + R3F 方案是渲染层的第一个实现，目标是使用最短的开发周期（预计 2-3 周）完成端到端的 3D 可视化原型。技术栈包括：Tauri 2.0（基于 Rust 的桌面应用框架，负责系统级 API 访问）、React（前端 UI 框架）、R3F（React Three Fiber，Three.js 的 React 封装）、Zustand（轻量级状态管理库）和 TailwindCSS（样式框架）。Rust 后端负责监听 ESP32-S3 的 BLE 串口数据和 WiFi UDP 数据，解析 Protobuf 消息，并将解析后的传感器数据通过 Tauri 的事件系统推送到前端。</w:t>
      </w:r>
    </w:p>
    <w:p>
      <w:pPr>
        <w:spacing w:before="0" w:after="120" w:line="312" w:lineRule="auto"/>
        <w:ind w:firstLine="480"/>
        <w:jc w:val="both"/>
      </w:pPr>
      <w:r>
        <w:rPr>
          <w:b w:val="0"/>
          <w:i w:val="0"/>
          <w:color w:val="333333"/>
          <w:sz w:val="24"/>
          <w:rFonts w:eastAsia="Microsoft YaHei" w:ascii="Calibri" w:hAnsi="Calibri"/>
        </w:rPr>
        <w:t>前端架构的核心设计理念是「数据驱动渲染，状态与视图分离」。Zustand store 中维护最新的传感器数据（21 维特征向量）和手势识别结果（手势 ID、置信度），使用 transient update 机制（zustand/temporal）避免频繁的数据更新触发 React 重渲染——Three.js 的 useFrame 钩子直接从 store 中读取最新数据并更新骨骼旋转，完全绕过 React 的渲染周期，确保 60fps 的渲染帧率不受 React 渲染开销的影响。3D 手部模型使用简化的骨骼网格（基于 21 个关键点和连接线段的线框模型），每个关节使用球体表示，骨骼使用圆柱体连接。UI 面板使用 shadcn/ui 组件库实现，显示当前手势、置信度、连接状态、传感器数值等信息。</w:t>
      </w:r>
    </w:p>
    <w:p>
      <w:pPr>
        <w:spacing w:before="280" w:after="160" w:line="312" w:lineRule="auto"/>
        <w:jc w:val="left"/>
      </w:pPr>
      <w:r>
        <w:rPr>
          <w:b/>
          <w:color w:val="333333"/>
          <w:sz w:val="28"/>
          <w:rFonts w:eastAsia="SimHei" w:ascii="SimHei" w:hAnsi="SimHei"/>
        </w:rPr>
        <w:t>10.2  Phase 2.5：Three.js + WebSocket（浏览器端）</w:t>
      </w:r>
    </w:p>
    <w:p>
      <w:pPr>
        <w:spacing w:before="0" w:after="120" w:line="312" w:lineRule="auto"/>
        <w:ind w:firstLine="480"/>
        <w:jc w:val="both"/>
      </w:pPr>
      <w:r>
        <w:rPr>
          <w:b w:val="0"/>
          <w:i w:val="0"/>
          <w:color w:val="333333"/>
          <w:sz w:val="24"/>
          <w:rFonts w:eastAsia="Microsoft YaHei" w:ascii="Calibri" w:hAnsi="Calibri"/>
        </w:rPr>
        <w:t>Phase 2.5 方案将 3D 渲染迁移至纯浏览器环境，消除桌面应用安装的障碍。用户只需打开浏览器访问指定 URL，即可看到实时的 3D 手部可视化。技术架构为：Python/Node.js WebSocket 服务器接收 ESP32-S3 的 BLE/WiFi 数据，解析 Protobuf 消息，并通过 WebSocket 推送到所有已连接的浏览器客户端。浏览器端使用原生 Three.js（无需 React 包装）直接渲染 3D 手部模型。</w:t>
      </w:r>
    </w:p>
    <w:p>
      <w:pPr>
        <w:spacing w:before="0" w:after="120" w:line="312" w:lineRule="auto"/>
        <w:ind w:firstLine="480"/>
        <w:jc w:val="both"/>
      </w:pPr>
      <w:r>
        <w:rPr>
          <w:b w:val="0"/>
          <w:i w:val="0"/>
          <w:color w:val="333333"/>
          <w:sz w:val="24"/>
          <w:rFonts w:eastAsia="Microsoft YaHei" w:ascii="Calibri" w:hAnsi="Calibri"/>
        </w:rPr>
        <w:t>该方案的优势在于部署极其简单——WebSocket 服务器可以运行在任何有 Python/Node.js 环境的机器上（包括树莓派等嵌入式 Linux 设备），用户端只需一个现代浏览器（Chrome、Firefox、Edge）即可访问。这对于演示场景和远程调试特别有价值——开发者可以远程查看数据手套的工作状态，无需在本地安装 Tauri 应用。劣势是 WebSocket 的数据传输延迟略高于 Tauri 的 IPC 通道（增加约 1-3ms），但对于 30fps 以上的 3D 渲染帧率没有实际影响。</w:t>
      </w:r>
    </w:p>
    <w:p>
      <w:pPr>
        <w:spacing w:before="280" w:after="160" w:line="312" w:lineRule="auto"/>
        <w:jc w:val="left"/>
      </w:pPr>
      <w:r>
        <w:rPr>
          <w:b/>
          <w:color w:val="333333"/>
          <w:sz w:val="28"/>
          <w:rFonts w:eastAsia="SimHei" w:ascii="SimHei" w:hAnsi="SimHei"/>
        </w:rPr>
        <w:t>10.3  Phase 4+：Unity + ms-MANO</w:t>
      </w:r>
    </w:p>
    <w:p>
      <w:pPr>
        <w:spacing w:before="0" w:after="120" w:line="312" w:lineRule="auto"/>
        <w:ind w:firstLine="480"/>
        <w:jc w:val="both"/>
      </w:pPr>
      <w:r>
        <w:rPr>
          <w:b w:val="0"/>
          <w:i w:val="0"/>
          <w:color w:val="333333"/>
          <w:sz w:val="24"/>
          <w:rFonts w:eastAsia="Microsoft YaHei" w:ascii="Calibri" w:hAnsi="Calibri"/>
        </w:rPr>
        <w:t>Unity + ms-MANO 方案是渲染层的最终形态，提供照片级品质的手部渲染和精确的关节控制。技术栈包括：Unity 2022.3 LTS（长期支持版本，稳定性有保障）、XR Hands Package（Unity 官方的手部追踪 SDK）、ms-MANO 参数化手部模型（基于 MANO 手部模型的 Multi-Scale 扩展版本）。ms-MANO 使用 48 维 pose_parameters（15 个关节 × 3 维旋转 + 3 维全局平移 + 3 维全局旋转）控制手部的完整姿态，能够生成高逼真度的 3D 手部网格（778 个顶点，1538 个三角形面片）。</w:t>
      </w:r>
    </w:p>
    <w:p>
      <w:pPr>
        <w:spacing w:before="0" w:after="120" w:line="312" w:lineRule="auto"/>
        <w:ind w:firstLine="480"/>
        <w:jc w:val="both"/>
      </w:pPr>
      <w:r>
        <w:rPr>
          <w:b w:val="0"/>
          <w:i w:val="0"/>
          <w:color w:val="333333"/>
          <w:sz w:val="24"/>
          <w:rFonts w:eastAsia="Microsoft YaHei" w:ascii="Calibri" w:hAnsi="Calibri"/>
        </w:rPr>
        <w:t>传感器数据到 ms-MANO 参数的映射是本阶段的核心技术难点。映射策略如下：15 路 TMAG5273 霍尔数据通过标定矩阵映射为 15 个手指关节的弯曲角度（5 个手指 × 3 个关节：MCP/PIP/DIP），标定过程通过最小二乘法拟合传感器读数与实际关节角度之间的线性关系；BNO085 腕部四元数直接映射为 ms-MANO 的全局旋转参数；手指的 MCP 关节还支持侧偏（Abduction/Adduction）运动，但 TMAG5273 无法直接测量该自由度，需要通过相邻手指的霍尔数据间接估计。</w:t>
      </w:r>
    </w:p>
    <w:p>
      <w:pPr>
        <w:spacing w:before="0" w:after="120" w:line="312" w:lineRule="auto"/>
        <w:ind w:firstLine="480"/>
        <w:jc w:val="both"/>
      </w:pPr>
      <w:r>
        <w:rPr>
          <w:b w:val="0"/>
          <w:i w:val="0"/>
          <w:color w:val="333333"/>
          <w:sz w:val="24"/>
          <w:rFonts w:eastAsia="Microsoft YaHei" w:ascii="Calibri" w:hAnsi="Calibri"/>
        </w:rPr>
        <w:t>数据平滑是保证渲染流畅性的关键。本项目使用两种平滑技术：Quaternion.Slerp（球面线性插值）用于平滑四元数旋转，插值因子 α = 0.3（即 30% 的目标值 + 70% 的当前值），有效消除传感器噪声导致的模型抖动；Vector3.Lerp（线性插值）用于平滑位置变化。此外，还实现了基于速度的自适应平滑——当检测到手势快速切换时（两帧之间的关节角度变化超过阈值），自动降低平滑因子以保持响应速度；当手势平稳时，增加平滑因子以提升视觉稳定性。</w:t>
      </w:r>
    </w:p>
    <w:p>
      <w:pPr>
        <w:spacing w:before="280" w:after="160" w:line="312" w:lineRule="auto"/>
        <w:jc w:val="left"/>
      </w:pPr>
      <w:r>
        <w:rPr>
          <w:b/>
          <w:color w:val="333333"/>
          <w:sz w:val="28"/>
          <w:rFonts w:eastAsia="SimHei" w:ascii="SimHei" w:hAnsi="SimHei"/>
        </w:rPr>
        <w:t>10.4  验收标准</w:t>
      </w:r>
    </w:p>
    <w:p>
      <w:pPr>
        <w:spacing w:before="0" w:after="120" w:line="312" w:lineRule="auto"/>
        <w:ind w:firstLine="480"/>
        <w:jc w:val="both"/>
      </w:pPr>
      <w:r>
        <w:rPr>
          <w:b w:val="0"/>
          <w:i w:val="0"/>
          <w:color w:val="333333"/>
          <w:sz w:val="24"/>
          <w:rFonts w:eastAsia="Microsoft YaHei" w:ascii="Calibri" w:hAnsi="Calibri"/>
        </w:rPr>
        <w:t>渲染层的验收标准确保 3D 可视化的流畅性、准确性和视觉品质。3D 渲染帧率——在主流硬件（Intel i5 + 集成显卡）上保持 30fps 以上的渲染帧率，在独立显卡上达到 60fps。端到端手部动作延迟——从传感器采集到手部模型响应的延迟低于 50ms（包含传感器采样、通信传输、数据解析和渲染管线的总延迟）。视觉自然度——3D 手部模型的动作自然度评分（5 分制，由 10 名以上的评测人员打分）不低于 4.0 分，要求手指弯曲、手腕旋转等动作看起来自然流畅，无明显抖动或穿模。三阶段渲染一致性——Tauri、Three.js 和 Unity 三个版本的 3D 手部动作保持一致，相同传感器输入产生相同的渲染结果（允许 ±5% 的视觉差异）。</w:t>
      </w:r>
    </w:p>
    <w:p>
      <w:r>
        <w:br w:type="page"/>
      </w:r>
    </w:p>
    <w:p>
      <w:pPr>
        <w:spacing w:before="360" w:after="160" w:line="312" w:lineRule="auto"/>
        <w:jc w:val="left"/>
      </w:pPr>
      <w:r>
        <w:rPr>
          <w:b/>
          <w:color w:val="333333"/>
          <w:sz w:val="32"/>
          <w:rFonts w:eastAsia="SimHei" w:ascii="SimHei" w:hAnsi="SimHei"/>
        </w:rPr>
        <w:t>11  Phase 8：系统集成与测试</w:t>
      </w:r>
    </w:p>
    <w:p>
      <w:pPr>
        <w:spacing w:before="0" w:after="120" w:line="312" w:lineRule="auto"/>
        <w:ind w:firstLine="480"/>
        <w:jc w:val="both"/>
      </w:pPr>
      <w:r>
        <w:rPr>
          <w:b w:val="0"/>
          <w:i w:val="0"/>
          <w:color w:val="333333"/>
          <w:sz w:val="24"/>
          <w:rFonts w:eastAsia="Microsoft YaHei" w:ascii="Calibri" w:hAnsi="Calibri"/>
        </w:rPr>
        <w:t>Phase 8 是项目的最终集成和验证阶段，目标是将前面七个阶段开发的模块集成为一个完整的端到端系统，并通过系统性的测试验证系统的整体性能、稳定性和可用性。系统集成不是简单的模块拼接——需要解决模块间的接口兼容性问题、时序同步问题、资源竞争问题和异常处理问题。本阶段的测试覆盖功能测试、性能测试、用户测试和压力测试四个维度，确保系统在真实使用场景下能够稳定可靠地工作。</w:t>
      </w:r>
    </w:p>
    <w:p>
      <w:pPr>
        <w:spacing w:before="280" w:after="160" w:line="312" w:lineRule="auto"/>
        <w:jc w:val="left"/>
      </w:pPr>
      <w:r>
        <w:rPr>
          <w:b/>
          <w:color w:val="333333"/>
          <w:sz w:val="28"/>
          <w:rFonts w:eastAsia="SimHei" w:ascii="SimHei" w:hAnsi="SimHei"/>
        </w:rPr>
        <w:t>11.1  端到端测试流程</w:t>
      </w:r>
    </w:p>
    <w:p>
      <w:pPr>
        <w:spacing w:before="0" w:after="120" w:line="312" w:lineRule="auto"/>
        <w:ind w:firstLine="480"/>
        <w:jc w:val="both"/>
      </w:pPr>
      <w:r>
        <w:rPr>
          <w:b w:val="0"/>
          <w:i w:val="0"/>
          <w:color w:val="333333"/>
          <w:sz w:val="24"/>
          <w:rFonts w:eastAsia="Microsoft YaHei" w:ascii="Calibri" w:hAnsi="Calibri"/>
        </w:rPr>
        <w:t>端到端测试验证从传感器数据采集到最终输出的完整链路：传感器采集（5 路 TMAG5273 + BNO085）→ I2C 读取 → 卡尔曼滤波 → 数据归一化 → 滑动窗口缓冲 → L1 推理 → 置信度判断 → L1 输出或 L2 转发 → BLE/WiFi 传输 → Protobuf 解析 → L2 推理（如触发）→ NLP 语法纠错 → TTS 语音合成 → 音频播放。同时，传感器数据通过 WiFi UDP 发送到渲染端，经解析后驱动 3D 手部模型实时更新。测试集包含 46 类手势，每类手势测试 20 次，记录每次的识别结果、响应时间和置信度。连续手语测试使用预定义的 10 组手语句子（每组包含 3-5 个手势），测试系统在连续输入场景下的识别准确率和延迟表现。</w:t>
      </w:r>
    </w:p>
    <w:p>
      <w:pPr>
        <w:spacing w:before="280" w:after="160" w:line="312" w:lineRule="auto"/>
        <w:jc w:val="left"/>
      </w:pPr>
      <w:r>
        <w:rPr>
          <w:b/>
          <w:color w:val="333333"/>
          <w:sz w:val="28"/>
          <w:rFonts w:eastAsia="SimHei" w:ascii="SimHei" w:hAnsi="SimHei"/>
        </w:rPr>
        <w:t>11.2  性能基准测试</w:t>
      </w:r>
    </w:p>
    <w:tbl>
      <w:tblPr>
        <w:tblW w:type="auto" w:w="0"/>
        <w:jc w:val="center"/>
        <w:tblLayout w:type="autofit"/>
        <w:tblLook w:firstColumn="1" w:firstRow="1" w:lastColumn="0" w:lastRow="0" w:noHBand="0" w:noVBand="1" w:val="04A0"/>
      </w:tblPr>
      <w:tblGrid>
        <w:gridCol w:w="2929"/>
        <w:gridCol w:w="2929"/>
        <w:gridCol w:w="2929"/>
      </w:tblGrid>
      <w:tr>
        <w:tc>
          <w:tcPr>
            <w:tcW w:type="dxa" w:w="2929"/>
            <w:vAlign w:val="center"/>
            <w:shd w:fill="1A2330"/>
            <w:tcBorders>
              <w:top w:val="single" w:sz="4" w:space="0" w:color="1A2330"/>
              <w:bottom w:val="single" w:sz="4" w:space="0" w:color="1A2330"/>
              <w:left w:val="single" w:sz="4" w:space="0" w:color="1A2330"/>
              <w:right w:val="single" w:sz="4" w:space="0" w:color="1A2330"/>
            </w:tcBorders>
          </w:tcPr>
          <w:p>
            <w:pPr>
              <w:jc w:val="center"/>
            </w:pPr>
            <w:r/>
            <w:r>
              <w:rPr>
                <w:b/>
                <w:color w:val="FFFFFF"/>
                <w:sz w:val="20"/>
              </w:rPr>
              <w:t>测试项</w:t>
            </w:r>
          </w:p>
        </w:tc>
        <w:tc>
          <w:tcPr>
            <w:tcW w:type="dxa" w:w="2929"/>
            <w:vAlign w:val="center"/>
            <w:shd w:fill="1A2330"/>
            <w:tcBorders>
              <w:top w:val="single" w:sz="4" w:space="0" w:color="1A2330"/>
              <w:bottom w:val="single" w:sz="4" w:space="0" w:color="1A2330"/>
              <w:left w:val="single" w:sz="4" w:space="0" w:color="1A2330"/>
              <w:right w:val="single" w:sz="4" w:space="0" w:color="1A2330"/>
            </w:tcBorders>
          </w:tcPr>
          <w:p>
            <w:pPr>
              <w:jc w:val="center"/>
            </w:pPr>
            <w:r/>
            <w:r>
              <w:rPr>
                <w:b/>
                <w:color w:val="FFFFFF"/>
                <w:sz w:val="20"/>
              </w:rPr>
              <w:t>目标指标</w:t>
            </w:r>
          </w:p>
        </w:tc>
        <w:tc>
          <w:tcPr>
            <w:tcW w:type="dxa" w:w="2929"/>
            <w:vAlign w:val="center"/>
            <w:shd w:fill="1A2330"/>
            <w:tcBorders>
              <w:top w:val="single" w:sz="4" w:space="0" w:color="1A2330"/>
              <w:bottom w:val="single" w:sz="4" w:space="0" w:color="1A2330"/>
              <w:left w:val="single" w:sz="4" w:space="0" w:color="1A2330"/>
              <w:right w:val="single" w:sz="4" w:space="0" w:color="1A2330"/>
            </w:tcBorders>
          </w:tcPr>
          <w:p>
            <w:pPr>
              <w:jc w:val="center"/>
            </w:pPr>
            <w:r/>
            <w:r>
              <w:rPr>
                <w:b/>
                <w:color w:val="FFFFFF"/>
                <w:sz w:val="20"/>
              </w:rPr>
              <w:t>测试方法</w:t>
            </w:r>
          </w:p>
        </w:tc>
      </w:tr>
      <w:tr>
        <w:tc>
          <w:tcPr>
            <w:tcW w:type="dxa" w:w="2929"/>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L1 推理延迟</w:t>
            </w:r>
          </w:p>
        </w:tc>
        <w:tc>
          <w:tcPr>
            <w:tcW w:type="dxa" w:w="2929"/>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&lt; 3ms</w:t>
            </w:r>
          </w:p>
        </w:tc>
        <w:tc>
          <w:tcPr>
            <w:tcW w:type="dxa" w:w="2929"/>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ESP32-S3 GPIO翻转计时</w:t>
            </w:r>
          </w:p>
        </w:tc>
      </w:tr>
      <w:tr>
        <w:tc>
          <w:tcPr>
            <w:tcW w:type="dxa" w:w="2929"/>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L2 推理延迟(GPU)</w:t>
            </w:r>
          </w:p>
        </w:tc>
        <w:tc>
          <w:tcPr>
            <w:tcW w:type="dxa" w:w="2929"/>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&lt; 10ms</w:t>
            </w:r>
          </w:p>
        </w:tc>
        <w:tc>
          <w:tcPr>
            <w:tcW w:type="dxa" w:w="2929"/>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PyTorch CUDA Event计时</w:t>
            </w:r>
          </w:p>
        </w:tc>
      </w:tr>
      <w:tr>
        <w:tc>
          <w:tcPr>
            <w:tcW w:type="dxa" w:w="2929"/>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端到端延迟(L1)</w:t>
            </w:r>
          </w:p>
        </w:tc>
        <w:tc>
          <w:tcPr>
            <w:tcW w:type="dxa" w:w="2929"/>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&lt; 100ms</w:t>
            </w:r>
          </w:p>
        </w:tc>
        <w:tc>
          <w:tcPr>
            <w:tcW w:type="dxa" w:w="2929"/>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手势完成→文字显示计时</w:t>
            </w:r>
          </w:p>
        </w:tc>
      </w:tr>
      <w:tr>
        <w:tc>
          <w:tcPr>
            <w:tcW w:type="dxa" w:w="2929"/>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端到端延迟(L2)</w:t>
            </w:r>
          </w:p>
        </w:tc>
        <w:tc>
          <w:tcPr>
            <w:tcW w:type="dxa" w:w="2929"/>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&lt; 500ms</w:t>
            </w:r>
          </w:p>
        </w:tc>
        <w:tc>
          <w:tcPr>
            <w:tcW w:type="dxa" w:w="2929"/>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手势完成→文字显示计时</w:t>
            </w:r>
          </w:p>
        </w:tc>
      </w:tr>
      <w:tr>
        <w:tc>
          <w:tcPr>
            <w:tcW w:type="dxa" w:w="2929"/>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BLE 传输延迟</w:t>
            </w:r>
          </w:p>
        </w:tc>
        <w:tc>
          <w:tcPr>
            <w:tcW w:type="dxa" w:w="2929"/>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&lt; 20ms</w:t>
            </w:r>
          </w:p>
        </w:tc>
        <w:tc>
          <w:tcPr>
            <w:tcW w:type="dxa" w:w="2929"/>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时间戳差值法</w:t>
            </w:r>
          </w:p>
        </w:tc>
      </w:tr>
      <w:tr>
        <w:tc>
          <w:tcPr>
            <w:tcW w:type="dxa" w:w="2929"/>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UDP 传输延迟</w:t>
            </w:r>
          </w:p>
        </w:tc>
        <w:tc>
          <w:tcPr>
            <w:tcW w:type="dxa" w:w="2929"/>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&lt; 5ms</w:t>
            </w:r>
          </w:p>
        </w:tc>
        <w:tc>
          <w:tcPr>
            <w:tcW w:type="dxa" w:w="2929"/>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时间戳差值法</w:t>
            </w:r>
          </w:p>
        </w:tc>
      </w:tr>
      <w:tr>
        <w:tc>
          <w:tcPr>
            <w:tcW w:type="dxa" w:w="2929"/>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识别准确率(L1)</w:t>
            </w:r>
          </w:p>
        </w:tc>
        <w:tc>
          <w:tcPr>
            <w:tcW w:type="dxa" w:w="2929"/>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&gt; 90%</w:t>
            </w:r>
          </w:p>
        </w:tc>
        <w:tc>
          <w:tcPr>
            <w:tcW w:type="dxa" w:w="2929"/>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46类×20次混淆矩阵</w:t>
            </w:r>
          </w:p>
        </w:tc>
      </w:tr>
      <w:tr>
        <w:tc>
          <w:tcPr>
            <w:tcW w:type="dxa" w:w="2929"/>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识别准确率(L2)</w:t>
            </w:r>
          </w:p>
        </w:tc>
        <w:tc>
          <w:tcPr>
            <w:tcW w:type="dxa" w:w="2929"/>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&gt; 95%</w:t>
            </w:r>
          </w:p>
        </w:tc>
        <w:tc>
          <w:tcPr>
            <w:tcW w:type="dxa" w:w="2929"/>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46类×20次混淆矩阵</w:t>
            </w:r>
          </w:p>
        </w:tc>
      </w:tr>
      <w:tr>
        <w:tc>
          <w:tcPr>
            <w:tcW w:type="dxa" w:w="2929"/>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功耗(工作)</w:t>
            </w:r>
          </w:p>
        </w:tc>
        <w:tc>
          <w:tcPr>
            <w:tcW w:type="dxa" w:w="2929"/>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&lt; 150mW</w:t>
            </w:r>
          </w:p>
        </w:tc>
        <w:tc>
          <w:tcPr>
            <w:tcW w:type="dxa" w:w="2929"/>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INA219功率计测量</w:t>
            </w:r>
          </w:p>
        </w:tc>
      </w:tr>
      <w:tr>
        <w:tc>
          <w:tcPr>
            <w:tcW w:type="dxa" w:w="2929"/>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续航时间</w:t>
            </w:r>
          </w:p>
        </w:tc>
        <w:tc>
          <w:tcPr>
            <w:tcW w:type="dxa" w:w="2929"/>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&gt; 12h</w:t>
            </w:r>
          </w:p>
        </w:tc>
        <w:tc>
          <w:tcPr>
            <w:tcW w:type="dxa" w:w="2929"/>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600mAh电池放电测试</w:t>
            </w:r>
          </w:p>
        </w:tc>
      </w:tr>
    </w:tbl>
    <w:p>
      <w:pPr>
        <w:spacing w:before="280" w:after="160" w:line="312" w:lineRule="auto"/>
        <w:jc w:val="left"/>
      </w:pPr>
      <w:r>
        <w:rPr>
          <w:b/>
          <w:color w:val="333333"/>
          <w:sz w:val="28"/>
          <w:rFonts w:eastAsia="SimHei" w:ascii="SimHei" w:hAnsi="SimHei"/>
        </w:rPr>
        <w:t>11.3  用户测试</w:t>
      </w:r>
    </w:p>
    <w:p>
      <w:pPr>
        <w:spacing w:before="0" w:after="120" w:line="312" w:lineRule="auto"/>
        <w:ind w:firstLine="480"/>
        <w:jc w:val="both"/>
      </w:pPr>
      <w:r>
        <w:rPr>
          <w:b w:val="0"/>
          <w:i w:val="0"/>
          <w:color w:val="333333"/>
          <w:sz w:val="24"/>
          <w:rFonts w:eastAsia="Microsoft YaHei" w:ascii="Calibri" w:hAnsi="Calibri"/>
        </w:rPr>
        <w:t>用户测试是验证系统实际可用性的关键环节。测试参与者包括 5-10 名听障人士（中国手语使用者）和 5 名听力正常人士（作为沟通对象）。测试场景模拟真实的手语翻译场景：听障用户佩戴数据手套，通过手语表达预定义的句子（涵盖日常问候、购物、就医、交通等场景）；系统将手语翻译为中文文字和语音；听力正常的沟通对象接收翻译结果并进行回应。测试指标包括：任务完成率（成功翻译的句子数 / 总句子数）、翻译准确率（翻译正确的句子数 / 翻译的句子数）、用户满意度（5 分制 Likert 量表）和系统可用性评分（SUS，System Usability Scale）。此外，还进行 A/B 测试对比——将本系统的翻译结果与人工翻译结果进行对比，评估机器翻译与人工翻译的差距。</w:t>
      </w:r>
    </w:p>
    <w:p>
      <w:pPr>
        <w:spacing w:before="280" w:after="160" w:line="312" w:lineRule="auto"/>
        <w:jc w:val="left"/>
      </w:pPr>
      <w:r>
        <w:rPr>
          <w:b/>
          <w:color w:val="333333"/>
          <w:sz w:val="28"/>
          <w:rFonts w:eastAsia="SimHei" w:ascii="SimHei" w:hAnsi="SimHei"/>
        </w:rPr>
        <w:t>11.4  压力测试</w:t>
      </w:r>
    </w:p>
    <w:p>
      <w:pPr>
        <w:spacing w:before="0" w:after="120" w:line="312" w:lineRule="auto"/>
        <w:ind w:firstLine="480"/>
        <w:jc w:val="both"/>
      </w:pPr>
      <w:r>
        <w:rPr>
          <w:b w:val="0"/>
          <w:i w:val="0"/>
          <w:color w:val="333333"/>
          <w:sz w:val="24"/>
          <w:rFonts w:eastAsia="Microsoft YaHei" w:ascii="Calibri" w:hAnsi="Calibri"/>
        </w:rPr>
        <w:t>压力测试验证系统在极端条件下的稳定性和鲁棒性。长时间运行稳定性测试——系统连续运行 72 小时，每 4 小时执行一次功能测试，检查是否存在内存泄漏、精度退化或通信断连等问题。BLE/WiFi 连接稳定性测试——在电磁干扰环境（如靠近 WiFi 路由器、微波炉、蓝牙音箱等设备）下测试 BLE 和 WiFi 连接的稳定性，记录断连次数和重连时间。电池消耗曲线测试——使用电子负载模拟实际使用场景（30% 采样、50% 推理、20% 通信），记录电压和电流随时间的变化曲线，计算实际续航时间和电池寿命衰减。温度测试——在 0°C 到 45°C 的环境温度范围内测试系统性能，确保传感器精度和推理准确率不因温度变化而显著下降。</w:t>
      </w:r>
    </w:p>
    <w:p>
      <w:r>
        <w:br w:type="page"/>
      </w:r>
    </w:p>
    <w:p>
      <w:pPr>
        <w:spacing w:before="360" w:after="160" w:line="312" w:lineRule="auto"/>
        <w:jc w:val="left"/>
      </w:pPr>
      <w:r>
        <w:rPr>
          <w:b/>
          <w:color w:val="333333"/>
          <w:sz w:val="32"/>
          <w:rFonts w:eastAsia="SimHei" w:ascii="SimHei" w:hAnsi="SimHei"/>
        </w:rPr>
        <w:t>12  已知问题与风险</w:t>
      </w:r>
    </w:p>
    <w:p>
      <w:pPr>
        <w:spacing w:before="0" w:after="120" w:line="312" w:lineRule="auto"/>
        <w:ind w:firstLine="480"/>
        <w:jc w:val="both"/>
      </w:pPr>
      <w:r>
        <w:rPr>
          <w:b w:val="0"/>
          <w:i w:val="0"/>
          <w:color w:val="333333"/>
          <w:sz w:val="24"/>
          <w:rFonts w:eastAsia="Microsoft YaHei" w:ascii="Calibri" w:hAnsi="Calibri"/>
        </w:rPr>
        <w:t>以下列出项目开发过程中已识别的关键问题和潜在风险，以及相应的应对策略。这些问题和风险需要在项目推进过程中持续关注和跟踪，及时采取预防措施和纠正行动。</w:t>
      </w:r>
    </w:p>
    <w:tbl>
      <w:tblPr>
        <w:tblW w:type="auto" w:w="0"/>
        <w:jc w:val="center"/>
        <w:tblLayout w:type="autofit"/>
        <w:tblLook w:firstColumn="1" w:firstRow="1" w:lastColumn="0" w:lastRow="0" w:noHBand="0" w:noVBand="1" w:val="04A0"/>
      </w:tblPr>
      <w:tblGrid>
        <w:gridCol w:w="2197"/>
        <w:gridCol w:w="2197"/>
        <w:gridCol w:w="2197"/>
        <w:gridCol w:w="2197"/>
      </w:tblGrid>
      <w:tr>
        <w:tc>
          <w:tcPr>
            <w:tcW w:type="dxa" w:w="2197"/>
            <w:vAlign w:val="center"/>
            <w:shd w:fill="1A2330"/>
            <w:tcBorders>
              <w:top w:val="single" w:sz="4" w:space="0" w:color="1A2330"/>
              <w:bottom w:val="single" w:sz="4" w:space="0" w:color="1A2330"/>
              <w:left w:val="single" w:sz="4" w:space="0" w:color="1A2330"/>
              <w:right w:val="single" w:sz="4" w:space="0" w:color="1A2330"/>
            </w:tcBorders>
          </w:tcPr>
          <w:p>
            <w:pPr>
              <w:jc w:val="center"/>
            </w:pPr>
            <w:r/>
            <w:r>
              <w:rPr>
                <w:b/>
                <w:color w:val="FFFFFF"/>
                <w:sz w:val="20"/>
              </w:rPr>
              <w:t>编号</w:t>
            </w:r>
          </w:p>
        </w:tc>
        <w:tc>
          <w:tcPr>
            <w:tcW w:type="dxa" w:w="2197"/>
            <w:vAlign w:val="center"/>
            <w:shd w:fill="1A2330"/>
            <w:tcBorders>
              <w:top w:val="single" w:sz="4" w:space="0" w:color="1A2330"/>
              <w:bottom w:val="single" w:sz="4" w:space="0" w:color="1A2330"/>
              <w:left w:val="single" w:sz="4" w:space="0" w:color="1A2330"/>
              <w:right w:val="single" w:sz="4" w:space="0" w:color="1A2330"/>
            </w:tcBorders>
          </w:tcPr>
          <w:p>
            <w:pPr>
              <w:jc w:val="center"/>
            </w:pPr>
            <w:r/>
            <w:r>
              <w:rPr>
                <w:b/>
                <w:color w:val="FFFFFF"/>
                <w:sz w:val="20"/>
              </w:rPr>
              <w:t>问题描述</w:t>
            </w:r>
          </w:p>
        </w:tc>
        <w:tc>
          <w:tcPr>
            <w:tcW w:type="dxa" w:w="2197"/>
            <w:vAlign w:val="center"/>
            <w:shd w:fill="1A2330"/>
            <w:tcBorders>
              <w:top w:val="single" w:sz="4" w:space="0" w:color="1A2330"/>
              <w:bottom w:val="single" w:sz="4" w:space="0" w:color="1A2330"/>
              <w:left w:val="single" w:sz="4" w:space="0" w:color="1A2330"/>
              <w:right w:val="single" w:sz="4" w:space="0" w:color="1A2330"/>
            </w:tcBorders>
          </w:tcPr>
          <w:p>
            <w:pPr>
              <w:jc w:val="center"/>
            </w:pPr>
            <w:r/>
            <w:r>
              <w:rPr>
                <w:b/>
                <w:color w:val="FFFFFF"/>
                <w:sz w:val="20"/>
              </w:rPr>
              <w:t>影响范围</w:t>
            </w:r>
          </w:p>
        </w:tc>
        <w:tc>
          <w:tcPr>
            <w:tcW w:type="dxa" w:w="2197"/>
            <w:vAlign w:val="center"/>
            <w:shd w:fill="1A2330"/>
            <w:tcBorders>
              <w:top w:val="single" w:sz="4" w:space="0" w:color="1A2330"/>
              <w:bottom w:val="single" w:sz="4" w:space="0" w:color="1A2330"/>
              <w:left w:val="single" w:sz="4" w:space="0" w:color="1A2330"/>
              <w:right w:val="single" w:sz="4" w:space="0" w:color="1A2330"/>
            </w:tcBorders>
          </w:tcPr>
          <w:p>
            <w:pPr>
              <w:jc w:val="center"/>
            </w:pPr>
            <w:r/>
            <w:r>
              <w:rPr>
                <w:b/>
                <w:color w:val="FFFFFF"/>
                <w:sz w:val="20"/>
              </w:rPr>
              <w:t>应对策略</w:t>
            </w:r>
          </w:p>
        </w:tc>
      </w:tr>
      <w:tr>
        <w:tc>
          <w:tcPr>
            <w:tcW w:type="dxa" w:w="2197"/>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R-01</w:t>
            </w:r>
          </w:p>
        </w:tc>
        <w:tc>
          <w:tcPr>
            <w:tcW w:type="dxa" w:w="2197"/>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论文中L2 ST-GCN实现为伪实现</w:t>
              <w:br/>
              <w:t>(nn.Linear而非真实图卷积)</w:t>
            </w:r>
          </w:p>
        </w:tc>
        <w:tc>
          <w:tcPr>
            <w:tcW w:type="dxa" w:w="2197"/>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Phase 5</w:t>
              <w:br/>
              <w:t>L2推理</w:t>
            </w:r>
          </w:p>
        </w:tc>
        <w:tc>
          <w:tcPr>
            <w:tcW w:type="dxa" w:w="2197"/>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已规划自研ST-GCN路线,</w:t>
              <w:br/>
              <w:t>从MS-GCN3论文重新实现</w:t>
            </w:r>
          </w:p>
        </w:tc>
      </w:tr>
      <w:tr>
        <w:tc>
          <w:tcPr>
            <w:tcW w:type="dxa" w:w="2197"/>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R-02</w:t>
            </w:r>
          </w:p>
        </w:tc>
        <w:tc>
          <w:tcPr>
            <w:tcW w:type="dxa" w:w="2197"/>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FreeRTOS xTaskCreatePinnedToCore</w:t>
              <w:br/>
              <w:t>参数顺序Bug(函数指针与句柄互换)</w:t>
            </w:r>
          </w:p>
        </w:tc>
        <w:tc>
          <w:tcPr>
            <w:tcW w:type="dxa" w:w="2197"/>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Phase 1</w:t>
              <w:br/>
              <w:t>系统稳定性</w:t>
            </w:r>
          </w:p>
        </w:tc>
        <w:tc>
          <w:tcPr>
            <w:tcW w:type="dxa" w:w="2197"/>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已修复并记录。添加编译期</w:t>
              <w:br/>
              <w:t>静态断言验证函数指针</w:t>
            </w:r>
          </w:p>
        </w:tc>
      </w:tr>
      <w:tr>
        <w:tc>
          <w:tcPr>
            <w:tcW w:type="dxa" w:w="2197"/>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R-03</w:t>
            </w:r>
          </w:p>
        </w:tc>
        <w:tc>
          <w:tcPr>
            <w:tcW w:type="dxa" w:w="2197"/>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OpenHands库已停止维护,</w:t>
              <w:br/>
              <w:t>不支持可穿戴传感器数据格式</w:t>
            </w:r>
          </w:p>
        </w:tc>
        <w:tc>
          <w:tcPr>
            <w:tcW w:type="dxa" w:w="2197"/>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Phase 5</w:t>
              <w:br/>
              <w:t>模型开发</w:t>
            </w:r>
          </w:p>
        </w:tc>
        <w:tc>
          <w:tcPr>
            <w:tcW w:type="dxa" w:w="2197"/>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已弃用OpenHands,改用PyTorch</w:t>
              <w:br/>
              <w:t>Geometric自研ST-GCN</w:t>
            </w:r>
          </w:p>
        </w:tc>
      </w:tr>
      <w:tr>
        <w:tc>
          <w:tcPr>
            <w:tcW w:type="dxa" w:w="2197"/>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R-04</w:t>
            </w:r>
          </w:p>
        </w:tc>
        <w:tc>
          <w:tcPr>
            <w:tcW w:type="dxa" w:w="2197"/>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BOM成本差异($18 vs $38.60),</w:t>
              <w:br/>
              <w:t>论文$18为批量/裸片价格</w:t>
            </w:r>
          </w:p>
        </w:tc>
        <w:tc>
          <w:tcPr>
            <w:tcW w:type="dxa" w:w="2197"/>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成本控制</w:t>
              <w:br/>
              <w:t>项目预算</w:t>
            </w:r>
          </w:p>
        </w:tc>
        <w:tc>
          <w:tcPr>
            <w:tcW w:type="dxa" w:w="2197"/>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以实际$38.60为准,</w:t>
              <w:br/>
              <w:t>优化PCB设计降低成本</w:t>
            </w:r>
          </w:p>
        </w:tc>
      </w:tr>
      <w:tr>
        <w:tc>
          <w:tcPr>
            <w:tcW w:type="dxa" w:w="2197"/>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R-05</w:t>
            </w:r>
          </w:p>
        </w:tc>
        <w:tc>
          <w:tcPr>
            <w:tcW w:type="dxa" w:w="2197"/>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BLE带宽限制(~100KB/s),</w:t>
              <w:br/>
              <w:t>无法满足100Hz高频数据传输</w:t>
            </w:r>
          </w:p>
        </w:tc>
        <w:tc>
          <w:tcPr>
            <w:tcW w:type="dxa" w:w="2197"/>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Phase 4+</w:t>
              <w:br/>
              <w:t>实时渲染</w:t>
            </w:r>
          </w:p>
        </w:tc>
        <w:tc>
          <w:tcPr>
            <w:tcW w:type="dxa" w:w="2197"/>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Phase 4+引入WiFi UDP,</w:t>
              <w:br/>
              <w:t>BLE降级为配网+低速备用</w:t>
            </w:r>
          </w:p>
        </w:tc>
      </w:tr>
      <w:tr>
        <w:tc>
          <w:tcPr>
            <w:tcW w:type="dxa" w:w="2197"/>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R-06</w:t>
            </w:r>
          </w:p>
        </w:tc>
        <w:tc>
          <w:tcPr>
            <w:tcW w:type="dxa" w:w="2197"/>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NLP语法纠错模块过于简化,</w:t>
              <w:br/>
              <w:t>规则库覆盖面有限</w:t>
            </w:r>
          </w:p>
        </w:tc>
        <w:tc>
          <w:tcPr>
            <w:tcW w:type="dxa" w:w="2197"/>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Phase 6</w:t>
              <w:br/>
              <w:t>翻译质量</w:t>
            </w:r>
          </w:p>
        </w:tc>
        <w:tc>
          <w:tcPr>
            <w:tcW w:type="dxa" w:w="2197"/>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分阶段实现:规则库→轻量</w:t>
              <w:br/>
              <w:t>Transformer→上下文纠错</w:t>
            </w:r>
          </w:p>
        </w:tc>
      </w:tr>
      <w:tr>
        <w:tc>
          <w:tcPr>
            <w:tcW w:type="dxa" w:w="2197"/>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R-07</w:t>
            </w:r>
          </w:p>
        </w:tc>
        <w:tc>
          <w:tcPr>
            <w:tcW w:type="dxa" w:w="2197"/>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I2C总线在5路TMAG5273</w:t>
              <w:br/>
              <w:t>切换时可能出现数据错乱</w:t>
            </w:r>
          </w:p>
        </w:tc>
        <w:tc>
          <w:tcPr>
            <w:tcW w:type="dxa" w:w="2197"/>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Phase 1</w:t>
              <w:br/>
              <w:t>数据质量</w:t>
            </w:r>
          </w:p>
        </w:tc>
        <w:tc>
          <w:tcPr>
            <w:tcW w:type="dxa" w:w="2197"/>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增加通道切换后稳定等待</w:t>
              <w:br/>
              <w:t>时间(1ms),添加CRC校验</w:t>
            </w:r>
          </w:p>
        </w:tc>
      </w:tr>
      <w:tr>
        <w:tc>
          <w:tcPr>
            <w:tcW w:type="dxa" w:w="2197"/>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R-08</w:t>
            </w:r>
          </w:p>
        </w:tc>
        <w:tc>
          <w:tcPr>
            <w:tcW w:type="dxa" w:w="2197"/>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ms-MANO手部模型姿态空间</w:t>
              <w:br/>
              <w:t>与传感器数据空间的映射精度</w:t>
            </w:r>
          </w:p>
        </w:tc>
        <w:tc>
          <w:tcPr>
            <w:tcW w:type="dxa" w:w="2197"/>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Phase 7</w:t>
              <w:br/>
              <w:t>渲染品质</w:t>
            </w:r>
          </w:p>
        </w:tc>
        <w:tc>
          <w:tcPr>
            <w:tcW w:type="dxa" w:w="2197"/>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通过标定实验建立最优</w:t>
              <w:br/>
              <w:t>映射矩阵,使用非线性拟合</w:t>
            </w:r>
          </w:p>
        </w:tc>
      </w:tr>
      <w:tr>
        <w:tc>
          <w:tcPr>
            <w:tcW w:type="dxa" w:w="2197"/>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R-09</w:t>
            </w:r>
          </w:p>
        </w:tc>
        <w:tc>
          <w:tcPr>
            <w:tcW w:type="dxa" w:w="2197"/>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跨人泛化能力不足,</w:t>
              <w:br/>
              <w:t>模型在新使用者上准确率下降</w:t>
            </w:r>
          </w:p>
        </w:tc>
        <w:tc>
          <w:tcPr>
            <w:tcW w:type="dxa" w:w="2197"/>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Phase 5</w:t>
              <w:br/>
              <w:t>模型性能</w:t>
            </w:r>
          </w:p>
        </w:tc>
        <w:tc>
          <w:tcPr>
            <w:tcW w:type="dxa" w:w="2197"/>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增加训练数据多样性,</w:t>
              <w:br/>
              <w:t>使用Domain Adaptation技术</w:t>
            </w:r>
          </w:p>
        </w:tc>
      </w:tr>
      <w:tr>
        <w:tc>
          <w:tcPr>
            <w:tcW w:type="dxa" w:w="2197"/>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R-10</w:t>
            </w:r>
          </w:p>
        </w:tc>
        <w:tc>
          <w:tcPr>
            <w:tcW w:type="dxa" w:w="2197"/>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edge-tts依赖网络,</w:t>
              <w:br/>
              <w:t>离线环境无法使用</w:t>
            </w:r>
          </w:p>
        </w:tc>
        <w:tc>
          <w:tcPr>
            <w:tcW w:type="dxa" w:w="2197"/>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Phase 6</w:t>
              <w:br/>
              <w:t>TTS可用性</w:t>
            </w:r>
          </w:p>
        </w:tc>
        <w:tc>
          <w:tcPr>
            <w:tcW w:type="dxa" w:w="2197"/>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预缓存常用短语,集成</w:t>
              <w:br/>
              <w:t>本地轻量TTS引擎作为备用</w:t>
            </w:r>
          </w:p>
        </w:tc>
      </w:tr>
    </w:tbl>
    <w:p>
      <w:pPr>
        <w:spacing w:before="240"/>
      </w:pPr>
    </w:p>
    <w:p>
      <w:pPr>
        <w:spacing w:before="0" w:after="120" w:line="312" w:lineRule="auto"/>
        <w:ind w:firstLine="480"/>
        <w:jc w:val="both"/>
      </w:pPr>
      <w:r>
        <w:rPr>
          <w:b w:val="0"/>
          <w:i w:val="0"/>
          <w:color w:val="333333"/>
          <w:sz w:val="24"/>
          <w:rFonts w:eastAsia="Microsoft YaHei" w:ascii="Calibri" w:hAnsi="Calibri"/>
        </w:rPr>
        <w:t>风险跟踪机制：每个风险项由指定的风险负责人（Risk Owner）负责跟踪和管理，每周在项目例会上更新风险状态（新增/活跃/已缓解/已关闭）。当风险的影响范围扩大或应对策略需要调整时，风险负责人需要发起风险评估会议，重新制定应对方案。高风险项（如 R-01、R-03、R-04）需要在项目里程碑节点进行专项评审，确保风险得到有效控制。</w:t>
      </w:r>
    </w:p>
    <w:p>
      <w:r>
        <w:br w:type="page"/>
      </w:r>
    </w:p>
    <w:p>
      <w:pPr>
        <w:spacing w:before="360" w:after="160" w:line="312" w:lineRule="auto"/>
        <w:jc w:val="left"/>
      </w:pPr>
      <w:r>
        <w:rPr>
          <w:b/>
          <w:color w:val="333333"/>
          <w:sz w:val="32"/>
          <w:rFonts w:eastAsia="SimHei" w:ascii="SimHei" w:hAnsi="SimHei"/>
        </w:rPr>
        <w:t>13  附录</w:t>
      </w:r>
    </w:p>
    <w:p>
      <w:pPr>
        <w:spacing w:before="280" w:after="160" w:line="312" w:lineRule="auto"/>
        <w:jc w:val="left"/>
      </w:pPr>
      <w:r>
        <w:rPr>
          <w:b/>
          <w:color w:val="333333"/>
          <w:sz w:val="28"/>
          <w:rFonts w:eastAsia="SimHei" w:ascii="SimHei" w:hAnsi="SimHei"/>
        </w:rPr>
        <w:t>附录 A：完整 BOM 硬件清单</w:t>
      </w:r>
    </w:p>
    <w:tbl>
      <w:tblPr>
        <w:tblW w:type="auto" w:w="0"/>
        <w:jc w:val="center"/>
        <w:tblLayout w:type="autofit"/>
        <w:tblLook w:firstColumn="1" w:firstRow="1" w:lastColumn="0" w:lastRow="0" w:noHBand="0" w:noVBand="1" w:val="04A0"/>
      </w:tblPr>
      <w:tblGrid>
        <w:gridCol w:w="1255"/>
        <w:gridCol w:w="1255"/>
        <w:gridCol w:w="1255"/>
        <w:gridCol w:w="1255"/>
        <w:gridCol w:w="1255"/>
        <w:gridCol w:w="1255"/>
        <w:gridCol w:w="1255"/>
      </w:tblGrid>
      <w:tr>
        <w:tc>
          <w:tcPr>
            <w:tcW w:type="dxa" w:w="1255"/>
            <w:vAlign w:val="center"/>
            <w:shd w:fill="1A2330"/>
            <w:tcBorders>
              <w:top w:val="single" w:sz="4" w:space="0" w:color="1A2330"/>
              <w:bottom w:val="single" w:sz="4" w:space="0" w:color="1A2330"/>
              <w:left w:val="single" w:sz="4" w:space="0" w:color="1A2330"/>
              <w:right w:val="single" w:sz="4" w:space="0" w:color="1A2330"/>
            </w:tcBorders>
          </w:tcPr>
          <w:p>
            <w:pPr>
              <w:jc w:val="center"/>
            </w:pPr>
            <w:r/>
            <w:r>
              <w:rPr>
                <w:b/>
                <w:color w:val="FFFFFF"/>
                <w:sz w:val="20"/>
              </w:rPr>
              <w:t>序号</w:t>
            </w:r>
          </w:p>
        </w:tc>
        <w:tc>
          <w:tcPr>
            <w:tcW w:type="dxa" w:w="1255"/>
            <w:vAlign w:val="center"/>
            <w:shd w:fill="1A2330"/>
            <w:tcBorders>
              <w:top w:val="single" w:sz="4" w:space="0" w:color="1A2330"/>
              <w:bottom w:val="single" w:sz="4" w:space="0" w:color="1A2330"/>
              <w:left w:val="single" w:sz="4" w:space="0" w:color="1A2330"/>
              <w:right w:val="single" w:sz="4" w:space="0" w:color="1A2330"/>
            </w:tcBorders>
          </w:tcPr>
          <w:p>
            <w:pPr>
              <w:jc w:val="center"/>
            </w:pPr>
            <w:r/>
            <w:r>
              <w:rPr>
                <w:b/>
                <w:color w:val="FFFFFF"/>
                <w:sz w:val="20"/>
              </w:rPr>
              <w:t>组件名称</w:t>
            </w:r>
          </w:p>
        </w:tc>
        <w:tc>
          <w:tcPr>
            <w:tcW w:type="dxa" w:w="1255"/>
            <w:vAlign w:val="center"/>
            <w:shd w:fill="1A2330"/>
            <w:tcBorders>
              <w:top w:val="single" w:sz="4" w:space="0" w:color="1A2330"/>
              <w:bottom w:val="single" w:sz="4" w:space="0" w:color="1A2330"/>
              <w:left w:val="single" w:sz="4" w:space="0" w:color="1A2330"/>
              <w:right w:val="single" w:sz="4" w:space="0" w:color="1A2330"/>
            </w:tcBorders>
          </w:tcPr>
          <w:p>
            <w:pPr>
              <w:jc w:val="center"/>
            </w:pPr>
            <w:r/>
            <w:r>
              <w:rPr>
                <w:b/>
                <w:color w:val="FFFFFF"/>
                <w:sz w:val="20"/>
              </w:rPr>
              <w:t>型号/规格</w:t>
            </w:r>
          </w:p>
        </w:tc>
        <w:tc>
          <w:tcPr>
            <w:tcW w:type="dxa" w:w="1255"/>
            <w:vAlign w:val="center"/>
            <w:shd w:fill="1A2330"/>
            <w:tcBorders>
              <w:top w:val="single" w:sz="4" w:space="0" w:color="1A2330"/>
              <w:bottom w:val="single" w:sz="4" w:space="0" w:color="1A2330"/>
              <w:left w:val="single" w:sz="4" w:space="0" w:color="1A2330"/>
              <w:right w:val="single" w:sz="4" w:space="0" w:color="1A2330"/>
            </w:tcBorders>
          </w:tcPr>
          <w:p>
            <w:pPr>
              <w:jc w:val="center"/>
            </w:pPr>
            <w:r/>
            <w:r>
              <w:rPr>
                <w:b/>
                <w:color w:val="FFFFFF"/>
                <w:sz w:val="20"/>
              </w:rPr>
              <w:t>数量</w:t>
            </w:r>
          </w:p>
        </w:tc>
        <w:tc>
          <w:tcPr>
            <w:tcW w:type="dxa" w:w="1255"/>
            <w:vAlign w:val="center"/>
            <w:shd w:fill="1A2330"/>
            <w:tcBorders>
              <w:top w:val="single" w:sz="4" w:space="0" w:color="1A2330"/>
              <w:bottom w:val="single" w:sz="4" w:space="0" w:color="1A2330"/>
              <w:left w:val="single" w:sz="4" w:space="0" w:color="1A2330"/>
              <w:right w:val="single" w:sz="4" w:space="0" w:color="1A2330"/>
            </w:tcBorders>
          </w:tcPr>
          <w:p>
            <w:pPr>
              <w:jc w:val="center"/>
            </w:pPr>
            <w:r/>
            <w:r>
              <w:rPr>
                <w:b/>
                <w:color w:val="FFFFFF"/>
                <w:sz w:val="20"/>
              </w:rPr>
              <w:t>单价(USD)</w:t>
            </w:r>
          </w:p>
        </w:tc>
        <w:tc>
          <w:tcPr>
            <w:tcW w:type="dxa" w:w="1255"/>
            <w:vAlign w:val="center"/>
            <w:shd w:fill="1A2330"/>
            <w:tcBorders>
              <w:top w:val="single" w:sz="4" w:space="0" w:color="1A2330"/>
              <w:bottom w:val="single" w:sz="4" w:space="0" w:color="1A2330"/>
              <w:left w:val="single" w:sz="4" w:space="0" w:color="1A2330"/>
              <w:right w:val="single" w:sz="4" w:space="0" w:color="1A2330"/>
            </w:tcBorders>
          </w:tcPr>
          <w:p>
            <w:pPr>
              <w:jc w:val="center"/>
            </w:pPr>
            <w:r/>
            <w:r>
              <w:rPr>
                <w:b/>
                <w:color w:val="FFFFFF"/>
                <w:sz w:val="20"/>
              </w:rPr>
              <w:t>小计(USD)</w:t>
            </w:r>
          </w:p>
        </w:tc>
        <w:tc>
          <w:tcPr>
            <w:tcW w:type="dxa" w:w="1255"/>
            <w:vAlign w:val="center"/>
            <w:shd w:fill="1A2330"/>
            <w:tcBorders>
              <w:top w:val="single" w:sz="4" w:space="0" w:color="1A2330"/>
              <w:bottom w:val="single" w:sz="4" w:space="0" w:color="1A2330"/>
              <w:left w:val="single" w:sz="4" w:space="0" w:color="1A2330"/>
              <w:right w:val="single" w:sz="4" w:space="0" w:color="1A2330"/>
            </w:tcBorders>
          </w:tcPr>
          <w:p>
            <w:pPr>
              <w:jc w:val="center"/>
            </w:pPr>
            <w:r/>
            <w:r>
              <w:rPr>
                <w:b/>
                <w:color w:val="FFFFFF"/>
                <w:sz w:val="20"/>
              </w:rPr>
              <w:t>供应商</w:t>
            </w:r>
          </w:p>
        </w:tc>
      </w:tr>
      <w:tr>
        <w:tc>
          <w:tcPr>
            <w:tcW w:type="dxa" w:w="1255"/>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1</w:t>
            </w:r>
          </w:p>
        </w:tc>
        <w:tc>
          <w:tcPr>
            <w:tcW w:type="dxa" w:w="1255"/>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MCU开发板</w:t>
            </w:r>
          </w:p>
        </w:tc>
        <w:tc>
          <w:tcPr>
            <w:tcW w:type="dxa" w:w="1255"/>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ESP32-S3-DevKitC-1 N16R8</w:t>
            </w:r>
          </w:p>
        </w:tc>
        <w:tc>
          <w:tcPr>
            <w:tcW w:type="dxa" w:w="1255"/>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1</w:t>
            </w:r>
          </w:p>
        </w:tc>
        <w:tc>
          <w:tcPr>
            <w:tcW w:type="dxa" w:w="1255"/>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$13.50</w:t>
            </w:r>
          </w:p>
        </w:tc>
        <w:tc>
          <w:tcPr>
            <w:tcW w:type="dxa" w:w="1255"/>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$13.50</w:t>
            </w:r>
          </w:p>
        </w:tc>
        <w:tc>
          <w:tcPr>
            <w:tcW w:type="dxa" w:w="1255"/>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Espressif</w:t>
            </w:r>
          </w:p>
        </w:tc>
      </w:tr>
      <w:tr>
        <w:tc>
          <w:tcPr>
            <w:tcW w:type="dxa" w:w="1255"/>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2</w:t>
            </w:r>
          </w:p>
        </w:tc>
        <w:tc>
          <w:tcPr>
            <w:tcW w:type="dxa" w:w="1255"/>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3D霍尔传感器</w:t>
            </w:r>
          </w:p>
        </w:tc>
        <w:tc>
          <w:tcPr>
            <w:tcW w:type="dxa" w:w="1255"/>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TMAG5273A1</w:t>
            </w:r>
          </w:p>
        </w:tc>
        <w:tc>
          <w:tcPr>
            <w:tcW w:type="dxa" w:w="1255"/>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5</w:t>
            </w:r>
          </w:p>
        </w:tc>
        <w:tc>
          <w:tcPr>
            <w:tcW w:type="dxa" w:w="1255"/>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$2.80</w:t>
            </w:r>
          </w:p>
        </w:tc>
        <w:tc>
          <w:tcPr>
            <w:tcW w:type="dxa" w:w="1255"/>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$14.00</w:t>
            </w:r>
          </w:p>
        </w:tc>
        <w:tc>
          <w:tcPr>
            <w:tcW w:type="dxa" w:w="1255"/>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TI</w:t>
            </w:r>
          </w:p>
        </w:tc>
      </w:tr>
      <w:tr>
        <w:tc>
          <w:tcPr>
            <w:tcW w:type="dxa" w:w="1255"/>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3</w:t>
            </w:r>
          </w:p>
        </w:tc>
        <w:tc>
          <w:tcPr>
            <w:tcW w:type="dxa" w:w="1255"/>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9轴IMU</w:t>
            </w:r>
          </w:p>
        </w:tc>
        <w:tc>
          <w:tcPr>
            <w:tcW w:type="dxa" w:w="1255"/>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BNO085</w:t>
            </w:r>
          </w:p>
        </w:tc>
        <w:tc>
          <w:tcPr>
            <w:tcW w:type="dxa" w:w="1255"/>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1</w:t>
            </w:r>
          </w:p>
        </w:tc>
        <w:tc>
          <w:tcPr>
            <w:tcW w:type="dxa" w:w="1255"/>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$9.50</w:t>
            </w:r>
          </w:p>
        </w:tc>
        <w:tc>
          <w:tcPr>
            <w:tcW w:type="dxa" w:w="1255"/>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$9.50</w:t>
            </w:r>
          </w:p>
        </w:tc>
        <w:tc>
          <w:tcPr>
            <w:tcW w:type="dxa" w:w="1255"/>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Bosch</w:t>
            </w:r>
          </w:p>
        </w:tc>
      </w:tr>
      <w:tr>
        <w:tc>
          <w:tcPr>
            <w:tcW w:type="dxa" w:w="1255"/>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4</w:t>
            </w:r>
          </w:p>
        </w:tc>
        <w:tc>
          <w:tcPr>
            <w:tcW w:type="dxa" w:w="1255"/>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I2C多路复用器</w:t>
            </w:r>
          </w:p>
        </w:tc>
        <w:tc>
          <w:tcPr>
            <w:tcW w:type="dxa" w:w="1255"/>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TCA9548A</w:t>
            </w:r>
          </w:p>
        </w:tc>
        <w:tc>
          <w:tcPr>
            <w:tcW w:type="dxa" w:w="1255"/>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1</w:t>
            </w:r>
          </w:p>
        </w:tc>
        <w:tc>
          <w:tcPr>
            <w:tcW w:type="dxa" w:w="1255"/>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$0.85</w:t>
            </w:r>
          </w:p>
        </w:tc>
        <w:tc>
          <w:tcPr>
            <w:tcW w:type="dxa" w:w="1255"/>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$0.85</w:t>
            </w:r>
          </w:p>
        </w:tc>
        <w:tc>
          <w:tcPr>
            <w:tcW w:type="dxa" w:w="1255"/>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TI</w:t>
            </w:r>
          </w:p>
        </w:tc>
      </w:tr>
      <w:tr>
        <w:tc>
          <w:tcPr>
            <w:tcW w:type="dxa" w:w="1255"/>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5</w:t>
            </w:r>
          </w:p>
        </w:tc>
        <w:tc>
          <w:tcPr>
            <w:tcW w:type="dxa" w:w="1255"/>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锂电池</w:t>
            </w:r>
          </w:p>
        </w:tc>
        <w:tc>
          <w:tcPr>
            <w:tcW w:type="dxa" w:w="1255"/>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600mAh 3.7V LiPo</w:t>
            </w:r>
          </w:p>
        </w:tc>
        <w:tc>
          <w:tcPr>
            <w:tcW w:type="dxa" w:w="1255"/>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1</w:t>
            </w:r>
          </w:p>
        </w:tc>
        <w:tc>
          <w:tcPr>
            <w:tcW w:type="dxa" w:w="1255"/>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$3.50</w:t>
            </w:r>
          </w:p>
        </w:tc>
        <w:tc>
          <w:tcPr>
            <w:tcW w:type="dxa" w:w="1255"/>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$3.50</w:t>
            </w:r>
          </w:p>
        </w:tc>
        <w:tc>
          <w:tcPr>
            <w:tcW w:type="dxa" w:w="1255"/>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Generic</w:t>
            </w:r>
          </w:p>
        </w:tc>
      </w:tr>
      <w:tr>
        <w:tc>
          <w:tcPr>
            <w:tcW w:type="dxa" w:w="1255"/>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6</w:t>
            </w:r>
          </w:p>
        </w:tc>
        <w:tc>
          <w:tcPr>
            <w:tcW w:type="dxa" w:w="1255"/>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电池保护板</w:t>
            </w:r>
          </w:p>
        </w:tc>
        <w:tc>
          <w:tcPr>
            <w:tcW w:type="dxa" w:w="1255"/>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TP4056 + DW01A</w:t>
            </w:r>
          </w:p>
        </w:tc>
        <w:tc>
          <w:tcPr>
            <w:tcW w:type="dxa" w:w="1255"/>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1</w:t>
            </w:r>
          </w:p>
        </w:tc>
        <w:tc>
          <w:tcPr>
            <w:tcW w:type="dxa" w:w="1255"/>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$0.80</w:t>
            </w:r>
          </w:p>
        </w:tc>
        <w:tc>
          <w:tcPr>
            <w:tcW w:type="dxa" w:w="1255"/>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$0.80</w:t>
            </w:r>
          </w:p>
        </w:tc>
        <w:tc>
          <w:tcPr>
            <w:tcW w:type="dxa" w:w="1255"/>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Generic</w:t>
            </w:r>
          </w:p>
        </w:tc>
      </w:tr>
      <w:tr>
        <w:tc>
          <w:tcPr>
            <w:tcW w:type="dxa" w:w="1255"/>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7</w:t>
            </w:r>
          </w:p>
        </w:tc>
        <w:tc>
          <w:tcPr>
            <w:tcW w:type="dxa" w:w="1255"/>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USB-UART</w:t>
            </w:r>
          </w:p>
        </w:tc>
        <w:tc>
          <w:tcPr>
            <w:tcW w:type="dxa" w:w="1255"/>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CH340C</w:t>
            </w:r>
          </w:p>
        </w:tc>
        <w:tc>
          <w:tcPr>
            <w:tcW w:type="dxa" w:w="1255"/>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1</w:t>
            </w:r>
          </w:p>
        </w:tc>
        <w:tc>
          <w:tcPr>
            <w:tcW w:type="dxa" w:w="1255"/>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$0.50</w:t>
            </w:r>
          </w:p>
        </w:tc>
        <w:tc>
          <w:tcPr>
            <w:tcW w:type="dxa" w:w="1255"/>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$0.50</w:t>
            </w:r>
          </w:p>
        </w:tc>
        <w:tc>
          <w:tcPr>
            <w:tcW w:type="dxa" w:w="1255"/>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WCH</w:t>
            </w:r>
          </w:p>
        </w:tc>
      </w:tr>
      <w:tr>
        <w:tc>
          <w:tcPr>
            <w:tcW w:type="dxa" w:w="1255"/>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8</w:t>
            </w:r>
          </w:p>
        </w:tc>
        <w:tc>
          <w:tcPr>
            <w:tcW w:type="dxa" w:w="1255"/>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稳压芯片</w:t>
            </w:r>
          </w:p>
        </w:tc>
        <w:tc>
          <w:tcPr>
            <w:tcW w:type="dxa" w:w="1255"/>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ME6211C33 (3.3V)</w:t>
            </w:r>
          </w:p>
        </w:tc>
        <w:tc>
          <w:tcPr>
            <w:tcW w:type="dxa" w:w="1255"/>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2</w:t>
            </w:r>
          </w:p>
        </w:tc>
        <w:tc>
          <w:tcPr>
            <w:tcW w:type="dxa" w:w="1255"/>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$0.20</w:t>
            </w:r>
          </w:p>
        </w:tc>
        <w:tc>
          <w:tcPr>
            <w:tcW w:type="dxa" w:w="1255"/>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$0.40</w:t>
            </w:r>
          </w:p>
        </w:tc>
        <w:tc>
          <w:tcPr>
            <w:tcW w:type="dxa" w:w="1255"/>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Microne</w:t>
            </w:r>
          </w:p>
        </w:tc>
      </w:tr>
      <w:tr>
        <w:tc>
          <w:tcPr>
            <w:tcW w:type="dxa" w:w="1255"/>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9</w:t>
            </w:r>
          </w:p>
        </w:tc>
        <w:tc>
          <w:tcPr>
            <w:tcW w:type="dxa" w:w="1255"/>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上拉电阻</w:t>
            </w:r>
          </w:p>
        </w:tc>
        <w:tc>
          <w:tcPr>
            <w:tcW w:type="dxa" w:w="1255"/>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2.2kΩ/4.7kΩ 0402</w:t>
            </w:r>
          </w:p>
        </w:tc>
        <w:tc>
          <w:tcPr>
            <w:tcW w:type="dxa" w:w="1255"/>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20</w:t>
            </w:r>
          </w:p>
        </w:tc>
        <w:tc>
          <w:tcPr>
            <w:tcW w:type="dxa" w:w="1255"/>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$0.01</w:t>
            </w:r>
          </w:p>
        </w:tc>
        <w:tc>
          <w:tcPr>
            <w:tcW w:type="dxa" w:w="1255"/>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$0.20</w:t>
            </w:r>
          </w:p>
        </w:tc>
        <w:tc>
          <w:tcPr>
            <w:tcW w:type="dxa" w:w="1255"/>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Yageo</w:t>
            </w:r>
          </w:p>
        </w:tc>
      </w:tr>
      <w:tr>
        <w:tc>
          <w:tcPr>
            <w:tcW w:type="dxa" w:w="1255"/>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10</w:t>
            </w:r>
          </w:p>
        </w:tc>
        <w:tc>
          <w:tcPr>
            <w:tcW w:type="dxa" w:w="1255"/>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去耦电容</w:t>
            </w:r>
          </w:p>
        </w:tc>
        <w:tc>
          <w:tcPr>
            <w:tcW w:type="dxa" w:w="1255"/>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100nF 0402</w:t>
            </w:r>
          </w:p>
        </w:tc>
        <w:tc>
          <w:tcPr>
            <w:tcW w:type="dxa" w:w="1255"/>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20</w:t>
            </w:r>
          </w:p>
        </w:tc>
        <w:tc>
          <w:tcPr>
            <w:tcW w:type="dxa" w:w="1255"/>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$0.01</w:t>
            </w:r>
          </w:p>
        </w:tc>
        <w:tc>
          <w:tcPr>
            <w:tcW w:type="dxa" w:w="1255"/>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$0.20</w:t>
            </w:r>
          </w:p>
        </w:tc>
        <w:tc>
          <w:tcPr>
            <w:tcW w:type="dxa" w:w="1255"/>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Yageo</w:t>
            </w:r>
          </w:p>
        </w:tc>
      </w:tr>
      <w:tr>
        <w:tc>
          <w:tcPr>
            <w:tcW w:type="dxa" w:w="1255"/>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11</w:t>
            </w:r>
          </w:p>
        </w:tc>
        <w:tc>
          <w:tcPr>
            <w:tcW w:type="dxa" w:w="1255"/>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排线/连接器</w:t>
            </w:r>
          </w:p>
        </w:tc>
        <w:tc>
          <w:tcPr>
            <w:tcW w:type="dxa" w:w="1255"/>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FPC + JST-PH</w:t>
            </w:r>
          </w:p>
        </w:tc>
        <w:tc>
          <w:tcPr>
            <w:tcW w:type="dxa" w:w="1255"/>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1套</w:t>
            </w:r>
          </w:p>
        </w:tc>
        <w:tc>
          <w:tcPr>
            <w:tcW w:type="dxa" w:w="1255"/>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$1.50</w:t>
            </w:r>
          </w:p>
        </w:tc>
        <w:tc>
          <w:tcPr>
            <w:tcW w:type="dxa" w:w="1255"/>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$1.50</w:t>
            </w:r>
          </w:p>
        </w:tc>
        <w:tc>
          <w:tcPr>
            <w:tcW w:type="dxa" w:w="1255"/>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Generic</w:t>
            </w:r>
          </w:p>
        </w:tc>
      </w:tr>
      <w:tr>
        <w:tc>
          <w:tcPr>
            <w:tcW w:type="dxa" w:w="1255"/>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12</w:t>
            </w:r>
          </w:p>
        </w:tc>
        <w:tc>
          <w:tcPr>
            <w:tcW w:type="dxa" w:w="1255"/>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PCB</w:t>
            </w:r>
          </w:p>
        </w:tc>
        <w:tc>
          <w:tcPr>
            <w:tcW w:type="dxa" w:w="1255"/>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两层板 5×5cm</w:t>
            </w:r>
          </w:p>
        </w:tc>
        <w:tc>
          <w:tcPr>
            <w:tcW w:type="dxa" w:w="1255"/>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1</w:t>
            </w:r>
          </w:p>
        </w:tc>
        <w:tc>
          <w:tcPr>
            <w:tcW w:type="dxa" w:w="1255"/>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$2.00</w:t>
            </w:r>
          </w:p>
        </w:tc>
        <w:tc>
          <w:tcPr>
            <w:tcW w:type="dxa" w:w="1255"/>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$2.00</w:t>
            </w:r>
          </w:p>
        </w:tc>
        <w:tc>
          <w:tcPr>
            <w:tcW w:type="dxa" w:w="1255"/>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JLCPCB</w:t>
            </w:r>
          </w:p>
        </w:tc>
      </w:tr>
      <w:tr>
        <w:tc>
          <w:tcPr>
            <w:tcW w:type="dxa" w:w="1255"/>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13</w:t>
            </w:r>
          </w:p>
        </w:tc>
        <w:tc>
          <w:tcPr>
            <w:tcW w:type="dxa" w:w="1255"/>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3D打印外壳</w:t>
            </w:r>
          </w:p>
        </w:tc>
        <w:tc>
          <w:tcPr>
            <w:tcW w:type="dxa" w:w="1255"/>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TPU/PLA</w:t>
            </w:r>
          </w:p>
        </w:tc>
        <w:tc>
          <w:tcPr>
            <w:tcW w:type="dxa" w:w="1255"/>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1</w:t>
            </w:r>
          </w:p>
        </w:tc>
        <w:tc>
          <w:tcPr>
            <w:tcW w:type="dxa" w:w="1255"/>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$1.50</w:t>
            </w:r>
          </w:p>
        </w:tc>
        <w:tc>
          <w:tcPr>
            <w:tcW w:type="dxa" w:w="1255"/>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$1.50</w:t>
            </w:r>
          </w:p>
        </w:tc>
        <w:tc>
          <w:tcPr>
            <w:tcW w:type="dxa" w:w="1255"/>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In-house</w:t>
            </w:r>
          </w:p>
        </w:tc>
      </w:tr>
    </w:tbl>
    <w:p>
      <w:pPr>
        <w:spacing w:before="120"/>
      </w:pPr>
      <w:r>
        <w:rPr>
          <w:b/>
          <w:color w:val="D4875A"/>
          <w:sz w:val="20"/>
        </w:rPr>
        <w:t>合计：约 $38.60</w:t>
      </w:r>
    </w:p>
    <w:p>
      <w:pPr>
        <w:spacing w:before="280" w:after="160" w:line="312" w:lineRule="auto"/>
        <w:jc w:val="left"/>
      </w:pPr>
      <w:r>
        <w:rPr>
          <w:b/>
          <w:color w:val="333333"/>
          <w:sz w:val="28"/>
          <w:rFonts w:eastAsia="SimHei" w:ascii="SimHei" w:hAnsi="SimHei"/>
        </w:rPr>
        <w:t>附录 B：ESP32-S3 引脚分配表</w:t>
      </w:r>
    </w:p>
    <w:tbl>
      <w:tblPr>
        <w:tblW w:type="auto" w:w="0"/>
        <w:jc w:val="center"/>
        <w:tblLayout w:type="autofit"/>
        <w:tblLook w:firstColumn="1" w:firstRow="1" w:lastColumn="0" w:lastRow="0" w:noHBand="0" w:noVBand="1" w:val="04A0"/>
      </w:tblPr>
      <w:tblGrid>
        <w:gridCol w:w="2197"/>
        <w:gridCol w:w="2197"/>
        <w:gridCol w:w="2197"/>
        <w:gridCol w:w="2197"/>
      </w:tblGrid>
      <w:tr>
        <w:tc>
          <w:tcPr>
            <w:tcW w:type="dxa" w:w="2197"/>
            <w:vAlign w:val="center"/>
            <w:shd w:fill="1A2330"/>
            <w:tcBorders>
              <w:top w:val="single" w:sz="4" w:space="0" w:color="1A2330"/>
              <w:bottom w:val="single" w:sz="4" w:space="0" w:color="1A2330"/>
              <w:left w:val="single" w:sz="4" w:space="0" w:color="1A2330"/>
              <w:right w:val="single" w:sz="4" w:space="0" w:color="1A2330"/>
            </w:tcBorders>
          </w:tcPr>
          <w:p>
            <w:pPr>
              <w:jc w:val="center"/>
            </w:pPr>
            <w:r/>
            <w:r>
              <w:rPr>
                <w:b/>
                <w:color w:val="FFFFFF"/>
                <w:sz w:val="20"/>
              </w:rPr>
              <w:t>引脚</w:t>
            </w:r>
          </w:p>
        </w:tc>
        <w:tc>
          <w:tcPr>
            <w:tcW w:type="dxa" w:w="2197"/>
            <w:vAlign w:val="center"/>
            <w:shd w:fill="1A2330"/>
            <w:tcBorders>
              <w:top w:val="single" w:sz="4" w:space="0" w:color="1A2330"/>
              <w:bottom w:val="single" w:sz="4" w:space="0" w:color="1A2330"/>
              <w:left w:val="single" w:sz="4" w:space="0" w:color="1A2330"/>
              <w:right w:val="single" w:sz="4" w:space="0" w:color="1A2330"/>
            </w:tcBorders>
          </w:tcPr>
          <w:p>
            <w:pPr>
              <w:jc w:val="center"/>
            </w:pPr>
            <w:r/>
            <w:r>
              <w:rPr>
                <w:b/>
                <w:color w:val="FFFFFF"/>
                <w:sz w:val="20"/>
              </w:rPr>
              <w:t>功能</w:t>
            </w:r>
          </w:p>
        </w:tc>
        <w:tc>
          <w:tcPr>
            <w:tcW w:type="dxa" w:w="2197"/>
            <w:vAlign w:val="center"/>
            <w:shd w:fill="1A2330"/>
            <w:tcBorders>
              <w:top w:val="single" w:sz="4" w:space="0" w:color="1A2330"/>
              <w:bottom w:val="single" w:sz="4" w:space="0" w:color="1A2330"/>
              <w:left w:val="single" w:sz="4" w:space="0" w:color="1A2330"/>
              <w:right w:val="single" w:sz="4" w:space="0" w:color="1A2330"/>
            </w:tcBorders>
          </w:tcPr>
          <w:p>
            <w:pPr>
              <w:jc w:val="center"/>
            </w:pPr>
            <w:r/>
            <w:r>
              <w:rPr>
                <w:b/>
                <w:color w:val="FFFFFF"/>
                <w:sz w:val="20"/>
              </w:rPr>
              <w:t>外设</w:t>
            </w:r>
          </w:p>
        </w:tc>
        <w:tc>
          <w:tcPr>
            <w:tcW w:type="dxa" w:w="2197"/>
            <w:vAlign w:val="center"/>
            <w:shd w:fill="1A2330"/>
            <w:tcBorders>
              <w:top w:val="single" w:sz="4" w:space="0" w:color="1A2330"/>
              <w:bottom w:val="single" w:sz="4" w:space="0" w:color="1A2330"/>
              <w:left w:val="single" w:sz="4" w:space="0" w:color="1A2330"/>
              <w:right w:val="single" w:sz="4" w:space="0" w:color="1A2330"/>
            </w:tcBorders>
          </w:tcPr>
          <w:p>
            <w:pPr>
              <w:jc w:val="center"/>
            </w:pPr>
            <w:r/>
            <w:r>
              <w:rPr>
                <w:b/>
                <w:color w:val="FFFFFF"/>
                <w:sz w:val="20"/>
              </w:rPr>
              <w:t>备注</w:t>
            </w:r>
          </w:p>
        </w:tc>
      </w:tr>
      <w:tr>
        <w:tc>
          <w:tcPr>
            <w:tcW w:type="dxa" w:w="2197"/>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GPIO 8 (SDA)</w:t>
            </w:r>
          </w:p>
        </w:tc>
        <w:tc>
          <w:tcPr>
            <w:tcW w:type="dxa" w:w="2197"/>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I2C 数据线</w:t>
            </w:r>
          </w:p>
        </w:tc>
        <w:tc>
          <w:tcPr>
            <w:tcW w:type="dxa" w:w="2197"/>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TMAG5273×5, BNO085, TCA9548A</w:t>
            </w:r>
          </w:p>
        </w:tc>
        <w:tc>
          <w:tcPr>
            <w:tcW w:type="dxa" w:w="2197"/>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主I2C总线</w:t>
            </w:r>
          </w:p>
        </w:tc>
      </w:tr>
      <w:tr>
        <w:tc>
          <w:tcPr>
            <w:tcW w:type="dxa" w:w="2197"/>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GPIO 9 (SCL)</w:t>
            </w:r>
          </w:p>
        </w:tc>
        <w:tc>
          <w:tcPr>
            <w:tcW w:type="dxa" w:w="2197"/>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I2C 时钟线</w:t>
            </w:r>
          </w:p>
        </w:tc>
        <w:tc>
          <w:tcPr>
            <w:tcW w:type="dxa" w:w="2197"/>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TMAG5273×5, BNO085, TCA9548A</w:t>
            </w:r>
          </w:p>
        </w:tc>
        <w:tc>
          <w:tcPr>
            <w:tcW w:type="dxa" w:w="2197"/>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400kHz Fast Mode</w:t>
            </w:r>
          </w:p>
        </w:tc>
      </w:tr>
      <w:tr>
        <w:tc>
          <w:tcPr>
            <w:tcW w:type="dxa" w:w="2197"/>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GPIO 21</w:t>
            </w:r>
          </w:p>
        </w:tc>
        <w:tc>
          <w:tcPr>
            <w:tcW w:type="dxa" w:w="2197"/>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BNO085 INT</w:t>
            </w:r>
          </w:p>
        </w:tc>
        <w:tc>
          <w:tcPr>
            <w:tcW w:type="dxa" w:w="2197"/>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外部中断</w:t>
            </w:r>
          </w:p>
        </w:tc>
        <w:tc>
          <w:tcPr>
            <w:tcW w:type="dxa" w:w="2197"/>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数据就绪中断</w:t>
            </w:r>
          </w:p>
        </w:tc>
      </w:tr>
      <w:tr>
        <w:tc>
          <w:tcPr>
            <w:tcW w:type="dxa" w:w="2197"/>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GPIO 4</w:t>
            </w:r>
          </w:p>
        </w:tc>
        <w:tc>
          <w:tcPr>
            <w:tcW w:type="dxa" w:w="2197"/>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ADC1_CH3</w:t>
            </w:r>
          </w:p>
        </w:tc>
        <w:tc>
          <w:tcPr>
            <w:tcW w:type="dxa" w:w="2197"/>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柔性传感器 1（预留）</w:t>
            </w:r>
          </w:p>
        </w:tc>
        <w:tc>
          <w:tcPr>
            <w:tcW w:type="dxa" w:w="2197"/>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拇指</w:t>
            </w:r>
          </w:p>
        </w:tc>
      </w:tr>
      <w:tr>
        <w:tc>
          <w:tcPr>
            <w:tcW w:type="dxa" w:w="2197"/>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GPIO 5</w:t>
            </w:r>
          </w:p>
        </w:tc>
        <w:tc>
          <w:tcPr>
            <w:tcW w:type="dxa" w:w="2197"/>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ADC1_CH4</w:t>
            </w:r>
          </w:p>
        </w:tc>
        <w:tc>
          <w:tcPr>
            <w:tcW w:type="dxa" w:w="2197"/>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柔性传感器 2（预留）</w:t>
            </w:r>
          </w:p>
        </w:tc>
        <w:tc>
          <w:tcPr>
            <w:tcW w:type="dxa" w:w="2197"/>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食指</w:t>
            </w:r>
          </w:p>
        </w:tc>
      </w:tr>
      <w:tr>
        <w:tc>
          <w:tcPr>
            <w:tcW w:type="dxa" w:w="2197"/>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GPIO 6</w:t>
            </w:r>
          </w:p>
        </w:tc>
        <w:tc>
          <w:tcPr>
            <w:tcW w:type="dxa" w:w="2197"/>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ADC1_CH5</w:t>
            </w:r>
          </w:p>
        </w:tc>
        <w:tc>
          <w:tcPr>
            <w:tcW w:type="dxa" w:w="2197"/>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柔性传感器 3（预留）</w:t>
            </w:r>
          </w:p>
        </w:tc>
        <w:tc>
          <w:tcPr>
            <w:tcW w:type="dxa" w:w="2197"/>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中指</w:t>
            </w:r>
          </w:p>
        </w:tc>
      </w:tr>
      <w:tr>
        <w:tc>
          <w:tcPr>
            <w:tcW w:type="dxa" w:w="2197"/>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GPIO 7</w:t>
            </w:r>
          </w:p>
        </w:tc>
        <w:tc>
          <w:tcPr>
            <w:tcW w:type="dxa" w:w="2197"/>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ADC1_CH6</w:t>
            </w:r>
          </w:p>
        </w:tc>
        <w:tc>
          <w:tcPr>
            <w:tcW w:type="dxa" w:w="2197"/>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柔性传感器 4（预留）</w:t>
            </w:r>
          </w:p>
        </w:tc>
        <w:tc>
          <w:tcPr>
            <w:tcW w:type="dxa" w:w="2197"/>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无名指</w:t>
            </w:r>
          </w:p>
        </w:tc>
      </w:tr>
      <w:tr>
        <w:tc>
          <w:tcPr>
            <w:tcW w:type="dxa" w:w="2197"/>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GPIO 15</w:t>
            </w:r>
          </w:p>
        </w:tc>
        <w:tc>
          <w:tcPr>
            <w:tcW w:type="dxa" w:w="2197"/>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ADC2_CH4</w:t>
            </w:r>
          </w:p>
        </w:tc>
        <w:tc>
          <w:tcPr>
            <w:tcW w:type="dxa" w:w="2197"/>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柔性传感器 5（预留）</w:t>
            </w:r>
          </w:p>
        </w:tc>
        <w:tc>
          <w:tcPr>
            <w:tcW w:type="dxa" w:w="2197"/>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小指</w:t>
            </w:r>
          </w:p>
        </w:tc>
      </w:tr>
      <w:tr>
        <w:tc>
          <w:tcPr>
            <w:tcW w:type="dxa" w:w="2197"/>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GPIO 43</w:t>
            </w:r>
          </w:p>
        </w:tc>
        <w:tc>
          <w:tcPr>
            <w:tcW w:type="dxa" w:w="2197"/>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UART TX</w:t>
            </w:r>
          </w:p>
        </w:tc>
        <w:tc>
          <w:tcPr>
            <w:tcW w:type="dxa" w:w="2197"/>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调试串口</w:t>
            </w:r>
          </w:p>
        </w:tc>
        <w:tc>
          <w:tcPr>
            <w:tcW w:type="dxa" w:w="2197"/>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USB-UART CH340C</w:t>
            </w:r>
          </w:p>
        </w:tc>
      </w:tr>
      <w:tr>
        <w:tc>
          <w:tcPr>
            <w:tcW w:type="dxa" w:w="2197"/>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GPIO 44</w:t>
            </w:r>
          </w:p>
        </w:tc>
        <w:tc>
          <w:tcPr>
            <w:tcW w:type="dxa" w:w="2197"/>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UART RX</w:t>
            </w:r>
          </w:p>
        </w:tc>
        <w:tc>
          <w:tcPr>
            <w:tcW w:type="dxa" w:w="2197"/>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调试串口</w:t>
            </w:r>
          </w:p>
        </w:tc>
        <w:tc>
          <w:tcPr>
            <w:tcW w:type="dxa" w:w="2197"/>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USB-UART CH340C</w:t>
            </w:r>
          </w:p>
        </w:tc>
      </w:tr>
      <w:tr>
        <w:tc>
          <w:tcPr>
            <w:tcW w:type="dxa" w:w="2197"/>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GPIO 19</w:t>
            </w:r>
          </w:p>
        </w:tc>
        <w:tc>
          <w:tcPr>
            <w:tcW w:type="dxa" w:w="2197"/>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BLE TX/RX</w:t>
            </w:r>
          </w:p>
        </w:tc>
        <w:tc>
          <w:tcPr>
            <w:tcW w:type="dxa" w:w="2197"/>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BLE天线</w:t>
            </w:r>
          </w:p>
        </w:tc>
        <w:tc>
          <w:tcPr>
            <w:tcW w:type="dxa" w:w="2197"/>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内置天线</w:t>
            </w:r>
          </w:p>
        </w:tc>
      </w:tr>
    </w:tbl>
    <w:p>
      <w:pPr>
        <w:spacing w:before="280" w:after="160" w:line="312" w:lineRule="auto"/>
        <w:jc w:val="left"/>
      </w:pPr>
      <w:r>
        <w:rPr>
          <w:b/>
          <w:color w:val="333333"/>
          <w:sz w:val="28"/>
          <w:rFonts w:eastAsia="SimHei" w:ascii="SimHei" w:hAnsi="SimHei"/>
        </w:rPr>
        <w:t>附录 C：Protobuf 消息定义</w:t>
      </w:r>
    </w:p>
    <w:p>
      <w:pPr>
        <w:spacing w:before="0" w:after="120" w:line="312" w:lineRule="auto"/>
        <w:jc w:val="both"/>
      </w:pPr>
      <w:r>
        <w:rPr>
          <w:b w:val="0"/>
          <w:i w:val="0"/>
          <w:color w:val="333333"/>
          <w:sz w:val="24"/>
          <w:rFonts w:eastAsia="Microsoft YaHei" w:ascii="Calibri" w:hAnsi="Calibri"/>
        </w:rPr>
        <w:t>以下是本项目使用的全部 Protobuf 消息定义，分为传感器数据帧和配置帧两部分。</w:t>
      </w:r>
    </w:p>
    <w:p>
      <w:pPr>
        <w:spacing w:before="120" w:after="120" w:line="240" w:lineRule="auto"/>
        <w:ind w:left="480"/>
        <w:jc w:val="left"/>
      </w:pPr>
      <w:r>
        <w:rPr>
          <w:rFonts w:ascii="Consolas" w:hAnsi="Consolas"/>
          <w:color w:val="2C3E50"/>
          <w:sz w:val="18"/>
        </w:rPr>
        <w:t>// glove_data.proto - 传感器数据帧</w:t>
        <w:br/>
        <w:t>syntax = "proto3";</w:t>
        <w:br/>
        <w:br/>
        <w:t>message GloveData {</w:t>
        <w:br/>
        <w:t xml:space="preserve">    uint32 timestamp = 1;</w:t>
        <w:br/>
        <w:t xml:space="preserve">    repeated float hall_features = 2;  // 15路</w:t>
        <w:br/>
        <w:t xml:space="preserve">    repeated float imu_features = 3;   // 6路</w:t>
        <w:br/>
        <w:t xml:space="preserve">    repeated float flex_features = 4;  // 5路(预留)</w:t>
        <w:br/>
        <w:t xml:space="preserve">    uint32 l1_gesture_id = 5;</w:t>
        <w:br/>
        <w:t xml:space="preserve">    uint32 l1_confidence_x100 = 6;</w:t>
        <w:br/>
        <w:t>}</w:t>
        <w:br/>
        <w:br/>
        <w:t>// glove_config.proto - 配置帧</w:t>
        <w:br/>
        <w:t>message GloveConfig {</w:t>
        <w:br/>
        <w:t xml:space="preserve">    uint32 sample_rate = 1;           // 采样频率</w:t>
        <w:br/>
        <w:t xml:space="preserve">    bool kalman_enable = 2;           // 卡尔曼滤波开关</w:t>
        <w:br/>
        <w:t xml:space="preserve">    float kalman_q = 3;              // 过程噪声</w:t>
        <w:br/>
        <w:t xml:space="preserve">    float kalman_r = 4;              // 测量噪声</w:t>
        <w:br/>
        <w:t xml:space="preserve">    float confidence_threshold = 5;  // L1置信度阈值</w:t>
        <w:br/>
        <w:t>}</w:t>
        <w:br/>
      </w:r>
    </w:p>
    <w:p>
      <w:pPr>
        <w:spacing w:before="280" w:after="160" w:line="312" w:lineRule="auto"/>
        <w:jc w:val="left"/>
      </w:pPr>
      <w:r>
        <w:rPr>
          <w:b/>
          <w:color w:val="333333"/>
          <w:sz w:val="28"/>
          <w:rFonts w:eastAsia="SimHei" w:ascii="SimHei" w:hAnsi="SimHei"/>
        </w:rPr>
        <w:t>附录 D：FreeRTOS 任务分配表</w:t>
      </w:r>
    </w:p>
    <w:tbl>
      <w:tblPr>
        <w:tblW w:type="auto" w:w="0"/>
        <w:jc w:val="center"/>
        <w:tblLayout w:type="autofit"/>
        <w:tblLook w:firstColumn="1" w:firstRow="1" w:lastColumn="0" w:lastRow="0" w:noHBand="0" w:noVBand="1" w:val="04A0"/>
      </w:tblPr>
      <w:tblGrid>
        <w:gridCol w:w="1255"/>
        <w:gridCol w:w="1255"/>
        <w:gridCol w:w="1255"/>
        <w:gridCol w:w="1255"/>
        <w:gridCol w:w="1255"/>
        <w:gridCol w:w="1255"/>
        <w:gridCol w:w="1255"/>
      </w:tblGrid>
      <w:tr>
        <w:tc>
          <w:tcPr>
            <w:tcW w:type="dxa" w:w="1255"/>
            <w:vAlign w:val="center"/>
            <w:shd w:fill="1A2330"/>
            <w:tcBorders>
              <w:top w:val="single" w:sz="4" w:space="0" w:color="1A2330"/>
              <w:bottom w:val="single" w:sz="4" w:space="0" w:color="1A2330"/>
              <w:left w:val="single" w:sz="4" w:space="0" w:color="1A2330"/>
              <w:right w:val="single" w:sz="4" w:space="0" w:color="1A2330"/>
            </w:tcBorders>
          </w:tcPr>
          <w:p>
            <w:pPr>
              <w:jc w:val="center"/>
            </w:pPr>
            <w:r/>
            <w:r>
              <w:rPr>
                <w:b/>
                <w:color w:val="FFFFFF"/>
                <w:sz w:val="20"/>
              </w:rPr>
              <w:t>任务</w:t>
            </w:r>
          </w:p>
        </w:tc>
        <w:tc>
          <w:tcPr>
            <w:tcW w:type="dxa" w:w="1255"/>
            <w:vAlign w:val="center"/>
            <w:shd w:fill="1A2330"/>
            <w:tcBorders>
              <w:top w:val="single" w:sz="4" w:space="0" w:color="1A2330"/>
              <w:bottom w:val="single" w:sz="4" w:space="0" w:color="1A2330"/>
              <w:left w:val="single" w:sz="4" w:space="0" w:color="1A2330"/>
              <w:right w:val="single" w:sz="4" w:space="0" w:color="1A2330"/>
            </w:tcBorders>
          </w:tcPr>
          <w:p>
            <w:pPr>
              <w:jc w:val="center"/>
            </w:pPr>
            <w:r/>
            <w:r>
              <w:rPr>
                <w:b/>
                <w:color w:val="FFFFFF"/>
                <w:sz w:val="20"/>
              </w:rPr>
              <w:t>函数</w:t>
            </w:r>
          </w:p>
        </w:tc>
        <w:tc>
          <w:tcPr>
            <w:tcW w:type="dxa" w:w="1255"/>
            <w:vAlign w:val="center"/>
            <w:shd w:fill="1A2330"/>
            <w:tcBorders>
              <w:top w:val="single" w:sz="4" w:space="0" w:color="1A2330"/>
              <w:bottom w:val="single" w:sz="4" w:space="0" w:color="1A2330"/>
              <w:left w:val="single" w:sz="4" w:space="0" w:color="1A2330"/>
              <w:right w:val="single" w:sz="4" w:space="0" w:color="1A2330"/>
            </w:tcBorders>
          </w:tcPr>
          <w:p>
            <w:pPr>
              <w:jc w:val="center"/>
            </w:pPr>
            <w:r/>
            <w:r>
              <w:rPr>
                <w:b/>
                <w:color w:val="FFFFFF"/>
                <w:sz w:val="20"/>
              </w:rPr>
              <w:t>核心</w:t>
            </w:r>
          </w:p>
        </w:tc>
        <w:tc>
          <w:tcPr>
            <w:tcW w:type="dxa" w:w="1255"/>
            <w:vAlign w:val="center"/>
            <w:shd w:fill="1A2330"/>
            <w:tcBorders>
              <w:top w:val="single" w:sz="4" w:space="0" w:color="1A2330"/>
              <w:bottom w:val="single" w:sz="4" w:space="0" w:color="1A2330"/>
              <w:left w:val="single" w:sz="4" w:space="0" w:color="1A2330"/>
              <w:right w:val="single" w:sz="4" w:space="0" w:color="1A2330"/>
            </w:tcBorders>
          </w:tcPr>
          <w:p>
            <w:pPr>
              <w:jc w:val="center"/>
            </w:pPr>
            <w:r/>
            <w:r>
              <w:rPr>
                <w:b/>
                <w:color w:val="FFFFFF"/>
                <w:sz w:val="20"/>
              </w:rPr>
              <w:t>优先级</w:t>
            </w:r>
          </w:p>
        </w:tc>
        <w:tc>
          <w:tcPr>
            <w:tcW w:type="dxa" w:w="1255"/>
            <w:vAlign w:val="center"/>
            <w:shd w:fill="1A2330"/>
            <w:tcBorders>
              <w:top w:val="single" w:sz="4" w:space="0" w:color="1A2330"/>
              <w:bottom w:val="single" w:sz="4" w:space="0" w:color="1A2330"/>
              <w:left w:val="single" w:sz="4" w:space="0" w:color="1A2330"/>
              <w:right w:val="single" w:sz="4" w:space="0" w:color="1A2330"/>
            </w:tcBorders>
          </w:tcPr>
          <w:p>
            <w:pPr>
              <w:jc w:val="center"/>
            </w:pPr>
            <w:r/>
            <w:r>
              <w:rPr>
                <w:b/>
                <w:color w:val="FFFFFF"/>
                <w:sz w:val="20"/>
              </w:rPr>
              <w:t>栈大小</w:t>
            </w:r>
          </w:p>
        </w:tc>
        <w:tc>
          <w:tcPr>
            <w:tcW w:type="dxa" w:w="1255"/>
            <w:vAlign w:val="center"/>
            <w:shd w:fill="1A2330"/>
            <w:tcBorders>
              <w:top w:val="single" w:sz="4" w:space="0" w:color="1A2330"/>
              <w:bottom w:val="single" w:sz="4" w:space="0" w:color="1A2330"/>
              <w:left w:val="single" w:sz="4" w:space="0" w:color="1A2330"/>
              <w:right w:val="single" w:sz="4" w:space="0" w:color="1A2330"/>
            </w:tcBorders>
          </w:tcPr>
          <w:p>
            <w:pPr>
              <w:jc w:val="center"/>
            </w:pPr>
            <w:r/>
            <w:r>
              <w:rPr>
                <w:b/>
                <w:color w:val="FFFFFF"/>
                <w:sz w:val="20"/>
              </w:rPr>
              <w:t>触发方式</w:t>
            </w:r>
          </w:p>
        </w:tc>
        <w:tc>
          <w:tcPr>
            <w:tcW w:type="dxa" w:w="1255"/>
            <w:vAlign w:val="center"/>
            <w:shd w:fill="1A2330"/>
            <w:tcBorders>
              <w:top w:val="single" w:sz="4" w:space="0" w:color="1A2330"/>
              <w:bottom w:val="single" w:sz="4" w:space="0" w:color="1A2330"/>
              <w:left w:val="single" w:sz="4" w:space="0" w:color="1A2330"/>
              <w:right w:val="single" w:sz="4" w:space="0" w:color="1A2330"/>
            </w:tcBorders>
          </w:tcPr>
          <w:p>
            <w:pPr>
              <w:jc w:val="center"/>
            </w:pPr>
            <w:r/>
            <w:r>
              <w:rPr>
                <w:b/>
                <w:color w:val="FFFFFF"/>
                <w:sz w:val="20"/>
              </w:rPr>
              <w:t>周期</w:t>
            </w:r>
          </w:p>
        </w:tc>
      </w:tr>
      <w:tr>
        <w:tc>
          <w:tcPr>
            <w:tcW w:type="dxa" w:w="1255"/>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传感器采样</w:t>
            </w:r>
          </w:p>
        </w:tc>
        <w:tc>
          <w:tcPr>
            <w:tcW w:type="dxa" w:w="1255"/>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Task_SensorRead</w:t>
            </w:r>
          </w:p>
        </w:tc>
        <w:tc>
          <w:tcPr>
            <w:tcW w:type="dxa" w:w="1255"/>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Core 1</w:t>
            </w:r>
          </w:p>
        </w:tc>
        <w:tc>
          <w:tcPr>
            <w:tcW w:type="dxa" w:w="1255"/>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3</w:t>
            </w:r>
          </w:p>
        </w:tc>
        <w:tc>
          <w:tcPr>
            <w:tcW w:type="dxa" w:w="1255"/>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4096B</w:t>
            </w:r>
          </w:p>
        </w:tc>
        <w:tc>
          <w:tcPr>
            <w:tcW w:type="dxa" w:w="1255"/>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Timer(10ms)</w:t>
            </w:r>
          </w:p>
        </w:tc>
        <w:tc>
          <w:tcPr>
            <w:tcW w:type="dxa" w:w="1255"/>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100Hz</w:t>
            </w:r>
          </w:p>
        </w:tc>
      </w:tr>
      <w:tr>
        <w:tc>
          <w:tcPr>
            <w:tcW w:type="dxa" w:w="1255"/>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边缘推理</w:t>
            </w:r>
          </w:p>
        </w:tc>
        <w:tc>
          <w:tcPr>
            <w:tcW w:type="dxa" w:w="1255"/>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Task_Inference</w:t>
            </w:r>
          </w:p>
        </w:tc>
        <w:tc>
          <w:tcPr>
            <w:tcW w:type="dxa" w:w="1255"/>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Core 0</w:t>
            </w:r>
          </w:p>
        </w:tc>
        <w:tc>
          <w:tcPr>
            <w:tcW w:type="dxa" w:w="1255"/>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2</w:t>
            </w:r>
          </w:p>
        </w:tc>
        <w:tc>
          <w:tcPr>
            <w:tcW w:type="dxa" w:w="1255"/>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8192B</w:t>
            </w:r>
          </w:p>
        </w:tc>
        <w:tc>
          <w:tcPr>
            <w:tcW w:type="dxa" w:w="1255"/>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TaskNotify</w:t>
            </w:r>
          </w:p>
        </w:tc>
        <w:tc>
          <w:tcPr>
            <w:tcW w:type="dxa" w:w="1255"/>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按需</w:t>
            </w:r>
          </w:p>
        </w:tc>
      </w:tr>
      <w:tr>
        <w:tc>
          <w:tcPr>
            <w:tcW w:type="dxa" w:w="1255"/>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通信传输</w:t>
            </w:r>
          </w:p>
        </w:tc>
        <w:tc>
          <w:tcPr>
            <w:tcW w:type="dxa" w:w="1255"/>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Task_Comms</w:t>
            </w:r>
          </w:p>
        </w:tc>
        <w:tc>
          <w:tcPr>
            <w:tcW w:type="dxa" w:w="1255"/>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Core 0</w:t>
            </w:r>
          </w:p>
        </w:tc>
        <w:tc>
          <w:tcPr>
            <w:tcW w:type="dxa" w:w="1255"/>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1</w:t>
            </w:r>
          </w:p>
        </w:tc>
        <w:tc>
          <w:tcPr>
            <w:tcW w:type="dxa" w:w="1255"/>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4096B</w:t>
            </w:r>
          </w:p>
        </w:tc>
        <w:tc>
          <w:tcPr>
            <w:tcW w:type="dxa" w:w="1255"/>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Semaphore</w:t>
            </w:r>
          </w:p>
        </w:tc>
        <w:tc>
          <w:tcPr>
            <w:tcW w:type="dxa" w:w="1255"/>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100Hz</w:t>
            </w:r>
          </w:p>
        </w:tc>
      </w:tr>
      <w:tr>
        <w:tc>
          <w:tcPr>
            <w:tcW w:type="dxa" w:w="1255"/>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IDLE</w:t>
            </w:r>
          </w:p>
        </w:tc>
        <w:tc>
          <w:tcPr>
            <w:tcW w:type="dxa" w:w="1255"/>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idle task</w:t>
            </w:r>
          </w:p>
        </w:tc>
        <w:tc>
          <w:tcPr>
            <w:tcW w:type="dxa" w:w="1255"/>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Core 0/1</w:t>
            </w:r>
          </w:p>
        </w:tc>
        <w:tc>
          <w:tcPr>
            <w:tcW w:type="dxa" w:w="1255"/>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0</w:t>
            </w:r>
          </w:p>
        </w:tc>
        <w:tc>
          <w:tcPr>
            <w:tcW w:type="dxa" w:w="1255"/>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4096B</w:t>
            </w:r>
          </w:p>
        </w:tc>
        <w:tc>
          <w:tcPr>
            <w:tcW w:type="dxa" w:w="1255"/>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系统</w:t>
            </w:r>
          </w:p>
        </w:tc>
        <w:tc>
          <w:tcPr>
            <w:tcW w:type="dxa" w:w="1255"/>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自动</w:t>
            </w:r>
          </w:p>
        </w:tc>
      </w:tr>
    </w:tbl>
    <w:p>
      <w:pPr>
        <w:spacing w:before="280" w:after="160" w:line="312" w:lineRule="auto"/>
        <w:jc w:val="left"/>
      </w:pPr>
      <w:r>
        <w:rPr>
          <w:b/>
          <w:color w:val="333333"/>
          <w:sz w:val="28"/>
          <w:rFonts w:eastAsia="SimHei" w:ascii="SimHei" w:hAnsi="SimHei"/>
        </w:rPr>
        <w:t>附录 E：术语表</w:t>
      </w:r>
    </w:p>
    <w:tbl>
      <w:tblPr>
        <w:tblW w:type="auto" w:w="0"/>
        <w:jc w:val="center"/>
        <w:tblLayout w:type="autofit"/>
        <w:tblLook w:firstColumn="1" w:firstRow="1" w:lastColumn="0" w:lastRow="0" w:noHBand="0" w:noVBand="1" w:val="04A0"/>
      </w:tblPr>
      <w:tblGrid>
        <w:gridCol w:w="2929"/>
        <w:gridCol w:w="2929"/>
        <w:gridCol w:w="2929"/>
      </w:tblGrid>
      <w:tr>
        <w:tc>
          <w:tcPr>
            <w:tcW w:type="dxa" w:w="2929"/>
            <w:vAlign w:val="center"/>
            <w:shd w:fill="1A2330"/>
            <w:tcBorders>
              <w:top w:val="single" w:sz="4" w:space="0" w:color="1A2330"/>
              <w:bottom w:val="single" w:sz="4" w:space="0" w:color="1A2330"/>
              <w:left w:val="single" w:sz="4" w:space="0" w:color="1A2330"/>
              <w:right w:val="single" w:sz="4" w:space="0" w:color="1A2330"/>
            </w:tcBorders>
          </w:tcPr>
          <w:p>
            <w:pPr>
              <w:jc w:val="center"/>
            </w:pPr>
            <w:r/>
            <w:r>
              <w:rPr>
                <w:b/>
                <w:color w:val="FFFFFF"/>
                <w:sz w:val="20"/>
              </w:rPr>
              <w:t>术语/缩写</w:t>
            </w:r>
          </w:p>
        </w:tc>
        <w:tc>
          <w:tcPr>
            <w:tcW w:type="dxa" w:w="2929"/>
            <w:vAlign w:val="center"/>
            <w:shd w:fill="1A2330"/>
            <w:tcBorders>
              <w:top w:val="single" w:sz="4" w:space="0" w:color="1A2330"/>
              <w:bottom w:val="single" w:sz="4" w:space="0" w:color="1A2330"/>
              <w:left w:val="single" w:sz="4" w:space="0" w:color="1A2330"/>
              <w:right w:val="single" w:sz="4" w:space="0" w:color="1A2330"/>
            </w:tcBorders>
          </w:tcPr>
          <w:p>
            <w:pPr>
              <w:jc w:val="center"/>
            </w:pPr>
            <w:r/>
            <w:r>
              <w:rPr>
                <w:b/>
                <w:color w:val="FFFFFF"/>
                <w:sz w:val="20"/>
              </w:rPr>
              <w:t>英文全称</w:t>
            </w:r>
          </w:p>
        </w:tc>
        <w:tc>
          <w:tcPr>
            <w:tcW w:type="dxa" w:w="2929"/>
            <w:vAlign w:val="center"/>
            <w:shd w:fill="1A2330"/>
            <w:tcBorders>
              <w:top w:val="single" w:sz="4" w:space="0" w:color="1A2330"/>
              <w:bottom w:val="single" w:sz="4" w:space="0" w:color="1A2330"/>
              <w:left w:val="single" w:sz="4" w:space="0" w:color="1A2330"/>
              <w:right w:val="single" w:sz="4" w:space="0" w:color="1A2330"/>
            </w:tcBorders>
          </w:tcPr>
          <w:p>
            <w:pPr>
              <w:jc w:val="center"/>
            </w:pPr>
            <w:r/>
            <w:r>
              <w:rPr>
                <w:b/>
                <w:color w:val="FFFFFF"/>
                <w:sz w:val="20"/>
              </w:rPr>
              <w:t>中文释义</w:t>
            </w:r>
          </w:p>
        </w:tc>
      </w:tr>
      <w:tr>
        <w:tc>
          <w:tcPr>
            <w:tcW w:type="dxa" w:w="2929"/>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ADR</w:t>
            </w:r>
          </w:p>
        </w:tc>
        <w:tc>
          <w:tcPr>
            <w:tcW w:type="dxa" w:w="2929"/>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Architecture Decision Record</w:t>
            </w:r>
          </w:p>
        </w:tc>
        <w:tc>
          <w:tcPr>
            <w:tcW w:type="dxa" w:w="2929"/>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架构决策记录</w:t>
            </w:r>
          </w:p>
        </w:tc>
      </w:tr>
      <w:tr>
        <w:tc>
          <w:tcPr>
            <w:tcW w:type="dxa" w:w="2929"/>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BLE</w:t>
            </w:r>
          </w:p>
        </w:tc>
        <w:tc>
          <w:tcPr>
            <w:tcW w:type="dxa" w:w="2929"/>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Bluetooth Low Energy</w:t>
            </w:r>
          </w:p>
        </w:tc>
        <w:tc>
          <w:tcPr>
            <w:tcW w:type="dxa" w:w="2929"/>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低功耗蓝牙</w:t>
            </w:r>
          </w:p>
        </w:tc>
      </w:tr>
      <w:tr>
        <w:tc>
          <w:tcPr>
            <w:tcW w:type="dxa" w:w="2929"/>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BOM</w:t>
            </w:r>
          </w:p>
        </w:tc>
        <w:tc>
          <w:tcPr>
            <w:tcW w:type="dxa" w:w="2929"/>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Bill of Materials</w:t>
            </w:r>
          </w:p>
        </w:tc>
        <w:tc>
          <w:tcPr>
            <w:tcW w:type="dxa" w:w="2929"/>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物料清单</w:t>
            </w:r>
          </w:p>
        </w:tc>
      </w:tr>
      <w:tr>
        <w:tc>
          <w:tcPr>
            <w:tcW w:type="dxa" w:w="2929"/>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CSL</w:t>
            </w:r>
          </w:p>
        </w:tc>
        <w:tc>
          <w:tcPr>
            <w:tcW w:type="dxa" w:w="2929"/>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Chinese Sign Language</w:t>
            </w:r>
          </w:p>
        </w:tc>
        <w:tc>
          <w:tcPr>
            <w:tcW w:type="dxa" w:w="2929"/>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中国手语</w:t>
            </w:r>
          </w:p>
        </w:tc>
      </w:tr>
      <w:tr>
        <w:tc>
          <w:tcPr>
            <w:tcW w:type="dxa" w:w="2929"/>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EON</w:t>
            </w:r>
          </w:p>
        </w:tc>
        <w:tc>
          <w:tcPr>
            <w:tcW w:type="dxa" w:w="2929"/>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Edge Optimized Neural</w:t>
            </w:r>
          </w:p>
        </w:tc>
        <w:tc>
          <w:tcPr>
            <w:tcW w:type="dxa" w:w="2929"/>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边缘优化神经网络</w:t>
            </w:r>
          </w:p>
        </w:tc>
      </w:tr>
      <w:tr>
        <w:tc>
          <w:tcPr>
            <w:tcW w:type="dxa" w:w="2929"/>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HAL</w:t>
            </w:r>
          </w:p>
        </w:tc>
        <w:tc>
          <w:tcPr>
            <w:tcW w:type="dxa" w:w="2929"/>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Hardware Abstraction Layer</w:t>
            </w:r>
          </w:p>
        </w:tc>
        <w:tc>
          <w:tcPr>
            <w:tcW w:type="dxa" w:w="2929"/>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硬件抽象层</w:t>
            </w:r>
          </w:p>
        </w:tc>
      </w:tr>
      <w:tr>
        <w:tc>
          <w:tcPr>
            <w:tcW w:type="dxa" w:w="2929"/>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IMU</w:t>
            </w:r>
          </w:p>
        </w:tc>
        <w:tc>
          <w:tcPr>
            <w:tcW w:type="dxa" w:w="2929"/>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Inertial Measurement Unit</w:t>
            </w:r>
          </w:p>
        </w:tc>
        <w:tc>
          <w:tcPr>
            <w:tcW w:type="dxa" w:w="2929"/>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惯性测量单元</w:t>
            </w:r>
          </w:p>
        </w:tc>
      </w:tr>
      <w:tr>
        <w:tc>
          <w:tcPr>
            <w:tcW w:type="dxa" w:w="2929"/>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I2C</w:t>
            </w:r>
          </w:p>
        </w:tc>
        <w:tc>
          <w:tcPr>
            <w:tcW w:type="dxa" w:w="2929"/>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Inter-Integrated Circuit</w:t>
            </w:r>
          </w:p>
        </w:tc>
        <w:tc>
          <w:tcPr>
            <w:tcW w:type="dxa" w:w="2929"/>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内部集成电路总线</w:t>
            </w:r>
          </w:p>
        </w:tc>
      </w:tr>
      <w:tr>
        <w:tc>
          <w:tcPr>
            <w:tcW w:type="dxa" w:w="2929"/>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MCU</w:t>
            </w:r>
          </w:p>
        </w:tc>
        <w:tc>
          <w:tcPr>
            <w:tcW w:type="dxa" w:w="2929"/>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Micro Controller Unit</w:t>
            </w:r>
          </w:p>
        </w:tc>
        <w:tc>
          <w:tcPr>
            <w:tcW w:type="dxa" w:w="2929"/>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微控制器单元</w:t>
            </w:r>
          </w:p>
        </w:tc>
      </w:tr>
      <w:tr>
        <w:tc>
          <w:tcPr>
            <w:tcW w:type="dxa" w:w="2929"/>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MOS</w:t>
            </w:r>
          </w:p>
        </w:tc>
        <w:tc>
          <w:tcPr>
            <w:tcW w:type="dxa" w:w="2929"/>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Mean Opinion Score</w:t>
            </w:r>
          </w:p>
        </w:tc>
        <w:tc>
          <w:tcPr>
            <w:tcW w:type="dxa" w:w="2929"/>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平均意见评分</w:t>
            </w:r>
          </w:p>
        </w:tc>
      </w:tr>
      <w:tr>
        <w:tc>
          <w:tcPr>
            <w:tcW w:type="dxa" w:w="2929"/>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MVP</w:t>
            </w:r>
          </w:p>
        </w:tc>
        <w:tc>
          <w:tcPr>
            <w:tcW w:type="dxa" w:w="2929"/>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Minimum Viable Product</w:t>
            </w:r>
          </w:p>
        </w:tc>
        <w:tc>
          <w:tcPr>
            <w:tcW w:type="dxa" w:w="2929"/>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最小可行产品</w:t>
            </w:r>
          </w:p>
        </w:tc>
      </w:tr>
      <w:tr>
        <w:tc>
          <w:tcPr>
            <w:tcW w:type="dxa" w:w="2929"/>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PCB</w:t>
            </w:r>
          </w:p>
        </w:tc>
        <w:tc>
          <w:tcPr>
            <w:tcW w:type="dxa" w:w="2929"/>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Printed Circuit Board</w:t>
            </w:r>
          </w:p>
        </w:tc>
        <w:tc>
          <w:tcPr>
            <w:tcW w:type="dxa" w:w="2929"/>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印刷电路板</w:t>
            </w:r>
          </w:p>
        </w:tc>
      </w:tr>
      <w:tr>
        <w:tc>
          <w:tcPr>
            <w:tcW w:type="dxa" w:w="2929"/>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PSRAM</w:t>
            </w:r>
          </w:p>
        </w:tc>
        <w:tc>
          <w:tcPr>
            <w:tcW w:type="dxa" w:w="2929"/>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Pseudo Static RAM</w:t>
            </w:r>
          </w:p>
        </w:tc>
        <w:tc>
          <w:tcPr>
            <w:tcW w:type="dxa" w:w="2929"/>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伪静态随机存取存储器</w:t>
            </w:r>
          </w:p>
        </w:tc>
      </w:tr>
      <w:tr>
        <w:tc>
          <w:tcPr>
            <w:tcW w:type="dxa" w:w="2929"/>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R3F</w:t>
            </w:r>
          </w:p>
        </w:tc>
        <w:tc>
          <w:tcPr>
            <w:tcW w:type="dxa" w:w="2929"/>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React Three Fiber</w:t>
            </w:r>
          </w:p>
        </w:tc>
        <w:tc>
          <w:tcPr>
            <w:tcW w:type="dxa" w:w="2929"/>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React 3D渲染库</w:t>
            </w:r>
          </w:p>
        </w:tc>
      </w:tr>
      <w:tr>
        <w:tc>
          <w:tcPr>
            <w:tcW w:type="dxa" w:w="2929"/>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ST-GCN</w:t>
            </w:r>
          </w:p>
        </w:tc>
        <w:tc>
          <w:tcPr>
            <w:tcW w:type="dxa" w:w="2929"/>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Spatio-Temporal GCN</w:t>
            </w:r>
          </w:p>
        </w:tc>
        <w:tc>
          <w:tcPr>
            <w:tcW w:type="dxa" w:w="2929"/>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时空图卷积网络</w:t>
            </w:r>
          </w:p>
        </w:tc>
      </w:tr>
      <w:tr>
        <w:tc>
          <w:tcPr>
            <w:tcW w:type="dxa" w:w="2929"/>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TFLite</w:t>
            </w:r>
          </w:p>
        </w:tc>
        <w:tc>
          <w:tcPr>
            <w:tcW w:type="dxa" w:w="2929"/>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TensorFlow Lite</w:t>
            </w:r>
          </w:p>
        </w:tc>
        <w:tc>
          <w:tcPr>
            <w:tcW w:type="dxa" w:w="2929"/>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轻量级推理引擎</w:t>
            </w:r>
          </w:p>
        </w:tc>
      </w:tr>
      <w:tr>
        <w:tc>
          <w:tcPr>
            <w:tcW w:type="dxa" w:w="2929"/>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TTS</w:t>
            </w:r>
          </w:p>
        </w:tc>
        <w:tc>
          <w:tcPr>
            <w:tcW w:type="dxa" w:w="2929"/>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Text-to-Speech</w:t>
            </w:r>
          </w:p>
        </w:tc>
        <w:tc>
          <w:tcPr>
            <w:tcW w:type="dxa" w:w="2929"/>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文本转语音</w:t>
            </w:r>
          </w:p>
        </w:tc>
      </w:tr>
      <w:tr>
        <w:tc>
          <w:tcPr>
            <w:tcW w:type="dxa" w:w="2929"/>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MANO</w:t>
            </w:r>
          </w:p>
        </w:tc>
        <w:tc>
          <w:tcPr>
            <w:tcW w:type="dxa" w:w="2929"/>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Hand Model</w:t>
            </w:r>
          </w:p>
        </w:tc>
        <w:tc>
          <w:tcPr>
            <w:tcW w:type="dxa" w:w="2929"/>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参数化手部模型</w:t>
            </w:r>
          </w:p>
        </w:tc>
      </w:tr>
      <w:tr>
        <w:tc>
          <w:tcPr>
            <w:tcW w:type="dxa" w:w="2929"/>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NVS</w:t>
            </w:r>
          </w:p>
        </w:tc>
        <w:tc>
          <w:tcPr>
            <w:tcW w:type="dxa" w:w="2929"/>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Non-Volatile Storage</w:t>
            </w:r>
          </w:p>
        </w:tc>
        <w:tc>
          <w:tcPr>
            <w:tcW w:type="dxa" w:w="2929"/>
            <w:vAlign w:val="center"/>
            <w:tcBorders>
              <w:top w:val="single" w:sz="4" w:space="0" w:color="CCCCCC"/>
              <w:bottom w:val="single" w:sz="4" w:space="0" w:color="CCCCCC"/>
              <w:left w:val="single" w:sz="4" w:space="0" w:color="CCCCCC"/>
              <w:right w:val="single" w:sz="4" w:space="0" w:color="CCCCCC"/>
            </w:tcBorders>
          </w:tcPr>
          <w:p>
            <w:pPr>
              <w:jc w:val="center"/>
            </w:pPr>
            <w:r/>
            <w:r>
              <w:rPr>
                <w:color w:val="333333"/>
                <w:sz w:val="20"/>
              </w:rPr>
              <w:t>非易失性存储</w:t>
            </w:r>
          </w:p>
        </w:tc>
      </w:tr>
      <w:tr>
        <w:tc>
          <w:tcPr>
            <w:tcW w:type="dxa" w:w="2929"/>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OTA</w:t>
            </w:r>
          </w:p>
        </w:tc>
        <w:tc>
          <w:tcPr>
            <w:tcW w:type="dxa" w:w="2929"/>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Over-The-Air</w:t>
            </w:r>
          </w:p>
        </w:tc>
        <w:tc>
          <w:tcPr>
            <w:tcW w:type="dxa" w:w="2929"/>
            <w:vAlign w:val="center"/>
            <w:shd w:fill="F5F5F5"/>
            <w:tcBorders>
              <w:top w:val="single" w:sz="4" w:space="0" w:color="CCCCCC"/>
              <w:bottom w:val="single" w:sz="4" w:space="0" w:color="CCCCCC"/>
              <w:left w:val="single" w:sz="4" w:space="0" w:color="CCCCCC"/>
              <w:right w:val="single" w:sz="4" w:space="0" w:color="CCCCCC"/>
            </w:tcBorders>
          </w:tcPr>
          <w:p>
            <w:pPr>
              <w:jc w:val="center"/>
            </w:pPr>
            <w:r/>
            <w:r>
              <w:rPr>
                <w:color w:val="333333"/>
                <w:sz w:val="20"/>
              </w:rPr>
              <w:t>空中升级</w:t>
            </w:r>
          </w:p>
        </w:tc>
      </w:tr>
    </w:tbl>
    <w:sectPr w:rsidR="00FC693F" w:rsidRPr="0006063C" w:rsidSect="00034616">
      <w:footerReference w:type="default" r:id="rId9"/>
      <w:pgSz w:w="11906" w:h="16838"/>
      <w:pgMar w:top="1440" w:right="1417"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99999"/>
        <w:sz w:val="18"/>
      </w:rPr>
      <w:fldChar w:fldCharType="begin"/>
    </w:r>
    <w:r>
      <w:rPr>
        <w:color w:val="999999"/>
        <w:sz w:val="18"/>
      </w:rPr>
      <w:instrText xml:space="preserve"> PAGE </w:instrText>
    </w:r>
    <w:r>
      <w:rPr>
        <w:color w:val="999999"/>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icrosoft YaHe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