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C7C0" w14:textId="282568A2" w:rsidR="00521EF3" w:rsidRDefault="00DC6841" w:rsidP="00AD6141">
      <w:pPr>
        <w:pStyle w:val="Heading1"/>
        <w:jc w:val="center"/>
      </w:pPr>
      <w:r>
        <w:t xml:space="preserve">FUNDAMENTAL ANALYSIS: </w:t>
      </w:r>
      <w:r w:rsidR="00521EF3">
        <w:t>TESLA INC</w:t>
      </w:r>
    </w:p>
    <w:p w14:paraId="38F253EB" w14:textId="77777777" w:rsidR="00AD6141" w:rsidRPr="00AD6141" w:rsidRDefault="00AD6141" w:rsidP="00AD6141"/>
    <w:p w14:paraId="2664FAC5" w14:textId="4760EA59" w:rsidR="00AD6141" w:rsidRDefault="00521EF3" w:rsidP="00AD6141">
      <w:pPr>
        <w:pStyle w:val="Heading2"/>
      </w:pPr>
      <w:r>
        <w:t>Company Description &lt;DES&gt;</w:t>
      </w:r>
    </w:p>
    <w:p w14:paraId="4F472603" w14:textId="438A2973" w:rsidR="00521EF3" w:rsidRDefault="00521EF3" w:rsidP="00521EF3">
      <w:r>
        <w:t>Tesla Inc. operates as a multinational automotive and clean energy company. The Company designs and manufactures electric vehicles, battery energy storage from home to grid-scale, solar panels and solar roof tiles, and related products and services. Tesla owns its sales and service network and sells electric power train components to other automobile manufacturers.</w:t>
      </w:r>
    </w:p>
    <w:p w14:paraId="33586D9E" w14:textId="5ED0EF47" w:rsidR="00521EF3" w:rsidRDefault="00521EF3" w:rsidP="00AD6141">
      <w:pPr>
        <w:pStyle w:val="Heading3"/>
      </w:pPr>
      <w:r>
        <w:t>OVERVIEW</w:t>
      </w:r>
    </w:p>
    <w:p w14:paraId="16B56963" w14:textId="12808630" w:rsidR="004E558B" w:rsidRDefault="00521EF3" w:rsidP="00521EF3">
      <w:r>
        <w:t xml:space="preserve">Founded in 2003, Tesla Motors designs, develops, manufactures, and markets high-performance, technologically advanced electric cars and solar energy generation and energy storage products. Tesla sells more than five fully electric cars, among others, the Model X and Y SUVs, as well as the Model S sedan and Model 3 sedan. The company has a growing global network of Tesla Superchargers, which are industrial grade, high-speed vehicle chargers, typically placed along well-traveled routes and in and around dense city centers to allow Tesla-owners quick and reliable charging. </w:t>
      </w:r>
    </w:p>
    <w:p w14:paraId="66AA135D" w14:textId="74084238" w:rsidR="004E558B" w:rsidRDefault="004E558B" w:rsidP="00AD6141">
      <w:pPr>
        <w:pStyle w:val="Heading3"/>
      </w:pPr>
      <w:r>
        <w:t>Company Background</w:t>
      </w:r>
    </w:p>
    <w:p w14:paraId="70480155" w14:textId="6FFD6942" w:rsidR="004E558B" w:rsidRDefault="004E558B" w:rsidP="004E558B">
      <w:r>
        <w:t>Tesla Motors was incorporated in July 2003 in Delaware, US. The company was founded by a group of engineers who wanted to prove that people didn't need to compromise to drive electric. Today, Tesla builds not only all-electric vehicles but as well as infinitely scalable clean energy generation and storage products.</w:t>
      </w:r>
    </w:p>
    <w:p w14:paraId="79FE97F9" w14:textId="725F317B" w:rsidR="004E558B" w:rsidRDefault="004E558B" w:rsidP="00AD6141">
      <w:pPr>
        <w:pStyle w:val="Heading3"/>
      </w:pPr>
      <w:r>
        <w:t>Strategy</w:t>
      </w:r>
    </w:p>
    <w:p w14:paraId="4D0F8F91" w14:textId="092FBF4F" w:rsidR="00521EF3" w:rsidRDefault="004E558B" w:rsidP="00521EF3">
      <w:r>
        <w:t>Generally, Tesla continues to expand production capacity at its existing facilities. It also intends to further increase cost-competitiveness in its significant markets by strategically adding local manufacturing, including at Gigafactory Berlin in Germany and Gigafactory Texas in Austin, Texas, which will begin production in 2022.</w:t>
      </w:r>
    </w:p>
    <w:p w14:paraId="498C2C71" w14:textId="4D8189EC" w:rsidR="00521EF3" w:rsidRDefault="00521EF3" w:rsidP="00AD6141">
      <w:pPr>
        <w:pStyle w:val="Heading3"/>
      </w:pPr>
      <w:r>
        <w:t>Operations</w:t>
      </w:r>
    </w:p>
    <w:p w14:paraId="557039E4" w14:textId="77777777" w:rsidR="00A525C7" w:rsidRDefault="00521EF3" w:rsidP="00521EF3">
      <w:r>
        <w:t xml:space="preserve">Tesla operates in two reportable segments: Automotive and Energy generation and storage. </w:t>
      </w:r>
    </w:p>
    <w:p w14:paraId="2F9039DD" w14:textId="277BDA3E" w:rsidR="00521EF3" w:rsidRDefault="00521EF3" w:rsidP="00521EF3">
      <w:r>
        <w:t xml:space="preserve">The automotive segment generates about 90% of sales. The segment includes sales and leasing of electric vehicles as well as sales of automotive regulatory credits. Additionally, the segment is also comprised of services and others. It accounts nearly 10% of sales and includes non-warranty after-sales vehicle services, sales of used vehicles, retail merchandise, sales by the acquired subsidiaries to third party customers and vehicle insurance revenue. </w:t>
      </w:r>
    </w:p>
    <w:p w14:paraId="250C2BA3" w14:textId="2FBE06B5" w:rsidR="00521EF3" w:rsidRDefault="00521EF3" w:rsidP="00521EF3">
      <w:r>
        <w:t xml:space="preserve">The company's energy generation and storage segment (just over 5% of revenue) makes and sells stationary energy storage products and solar energy systems to residential and small commercial customers, as well as large commercial and utility grade customers. </w:t>
      </w:r>
    </w:p>
    <w:p w14:paraId="5EF2DB0A" w14:textId="77777777" w:rsidR="00521EF3" w:rsidRDefault="00521EF3" w:rsidP="00AD6141">
      <w:pPr>
        <w:pStyle w:val="Heading3"/>
      </w:pPr>
      <w:r>
        <w:t>Geographic Reach</w:t>
      </w:r>
    </w:p>
    <w:p w14:paraId="25C9EBC5" w14:textId="77777777" w:rsidR="00521EF3" w:rsidRDefault="00521EF3" w:rsidP="00521EF3"/>
    <w:p w14:paraId="299616E3" w14:textId="08C364D0" w:rsidR="00521EF3" w:rsidRDefault="00521EF3" w:rsidP="00521EF3">
      <w:r>
        <w:lastRenderedPageBreak/>
        <w:t xml:space="preserve">Tesla, headquartered in Austin, Texas, operates a manufacturing facility in Fremont, California; and its Gigafactories near Sparks, Nevada; Buffalo, New York; </w:t>
      </w:r>
      <w:proofErr w:type="spellStart"/>
      <w:r>
        <w:t>Grunheide</w:t>
      </w:r>
      <w:proofErr w:type="spellEnd"/>
      <w:r>
        <w:t>, Germany; and Shanghai, China. The US accounts for nearly 50% of sales. China accounts for roughly 30% of sales, while the rest of the market accounts for about 30%.</w:t>
      </w:r>
    </w:p>
    <w:p w14:paraId="4EACAADD" w14:textId="77777777" w:rsidR="003366C7" w:rsidRDefault="003366C7" w:rsidP="00521EF3"/>
    <w:p w14:paraId="5123B3D4" w14:textId="77777777" w:rsidR="003366C7" w:rsidRDefault="003366C7" w:rsidP="00AD6141">
      <w:pPr>
        <w:pStyle w:val="Heading1"/>
      </w:pPr>
      <w:r>
        <w:t xml:space="preserve">Fundamental Analysis </w:t>
      </w:r>
    </w:p>
    <w:p w14:paraId="4A4D5D19" w14:textId="77777777" w:rsidR="00C60000" w:rsidRPr="00C60000" w:rsidRDefault="00175A16" w:rsidP="00C60000">
      <w:r w:rsidRPr="00175A16">
        <w:t>Fundamental analysis (FA) is a method of </w:t>
      </w:r>
      <w:hyperlink r:id="rId5" w:history="1">
        <w:r w:rsidRPr="00175A16">
          <w:rPr>
            <w:rStyle w:val="Hyperlink"/>
          </w:rPr>
          <w:t>measuring a security's intrinsic value</w:t>
        </w:r>
      </w:hyperlink>
      <w:r w:rsidRPr="00175A16">
        <w:t> by examining related economic and financial factors</w:t>
      </w:r>
      <w:r w:rsidR="00C730F1">
        <w:t xml:space="preserve">. </w:t>
      </w:r>
      <w:r w:rsidR="00C730F1" w:rsidRPr="00C730F1">
        <w:t>Fundamental analysis uses public data to evaluate the value of a stock or any other type of security</w:t>
      </w:r>
      <w:r w:rsidR="008D5D83">
        <w:t xml:space="preserve">. </w:t>
      </w:r>
      <w:r w:rsidR="008D5D83" w:rsidRPr="008D5D83">
        <w:t>For stocks, fundamental analysis uses revenues, earnings, future growth, </w:t>
      </w:r>
      <w:hyperlink r:id="rId6" w:history="1">
        <w:r w:rsidR="008D5D83" w:rsidRPr="008D5D83">
          <w:rPr>
            <w:rStyle w:val="Hyperlink"/>
          </w:rPr>
          <w:t>return on equity</w:t>
        </w:r>
      </w:hyperlink>
      <w:r w:rsidR="008D5D83" w:rsidRPr="008D5D83">
        <w:t>, profit margins, and other data to determine a company's underlying value and potential for future growth</w:t>
      </w:r>
      <w:r w:rsidR="008D5D83">
        <w:t xml:space="preserve">. </w:t>
      </w:r>
      <w:r w:rsidR="003F2F11" w:rsidRPr="003F2F11">
        <w:t>The various fundamental factors can be grouped into two categories: quantitative and qualitative</w:t>
      </w:r>
      <w:r w:rsidR="00C60000">
        <w:t xml:space="preserve">. </w:t>
      </w:r>
      <w:r w:rsidR="00C60000" w:rsidRPr="00C60000">
        <w:t>quantitative fundamentals are hard numbers. They are the measurable characteristics of a business. That's why the biggest source of quantitative data is financial statements. Revenue, profit, assets, and more can be measured with great precision.</w:t>
      </w:r>
    </w:p>
    <w:p w14:paraId="14F9637F" w14:textId="77777777" w:rsidR="00C60000" w:rsidRPr="00C60000" w:rsidRDefault="00C60000" w:rsidP="00C60000">
      <w:r w:rsidRPr="00C60000">
        <w:t>The qualitative fundamentals are less tangible. They might include the quality of a company's key executives, its brand-name recognition, </w:t>
      </w:r>
      <w:hyperlink r:id="rId7" w:history="1">
        <w:r w:rsidRPr="00C60000">
          <w:rPr>
            <w:rStyle w:val="Hyperlink"/>
          </w:rPr>
          <w:t>patents</w:t>
        </w:r>
      </w:hyperlink>
      <w:r w:rsidRPr="00C60000">
        <w:t>, and </w:t>
      </w:r>
      <w:hyperlink r:id="rId8" w:history="1">
        <w:r w:rsidRPr="00C60000">
          <w:rPr>
            <w:rStyle w:val="Hyperlink"/>
          </w:rPr>
          <w:t>proprietary technology</w:t>
        </w:r>
      </w:hyperlink>
      <w:r w:rsidRPr="00C60000">
        <w:t>.</w:t>
      </w:r>
    </w:p>
    <w:p w14:paraId="289E8D32" w14:textId="75C60707" w:rsidR="004D691D" w:rsidRDefault="00C60000" w:rsidP="009F7CDF">
      <w:pPr>
        <w:pStyle w:val="Heading2"/>
      </w:pPr>
      <w:r>
        <w:t>QUANTITATIVE FUNDAMENTAL ANALYSIS</w:t>
      </w:r>
    </w:p>
    <w:p w14:paraId="659B77D3" w14:textId="77777777" w:rsidR="004D691D" w:rsidRDefault="004D691D" w:rsidP="009F7CDF">
      <w:pPr>
        <w:pStyle w:val="Heading3"/>
      </w:pPr>
      <w:r>
        <w:t>Profitability</w:t>
      </w:r>
    </w:p>
    <w:p w14:paraId="6F5B2865" w14:textId="5129CF9A" w:rsidR="00103288" w:rsidRDefault="00103288" w:rsidP="00521EF3">
      <w:r>
        <w:t>Profitability is utmost significant parameter of fundamental analysis of a stock.</w:t>
      </w:r>
      <w:r w:rsidR="00882C07">
        <w:t xml:space="preserve"> </w:t>
      </w:r>
      <w:proofErr w:type="gramStart"/>
      <w:r>
        <w:t>We</w:t>
      </w:r>
      <w:proofErr w:type="gramEnd"/>
      <w:r>
        <w:t xml:space="preserve"> will be analyzing profitability using ratios like Return on Assets, Return on Equity, Gross Profit margin.</w:t>
      </w:r>
    </w:p>
    <w:p w14:paraId="1729947E" w14:textId="77777777" w:rsidR="00103288" w:rsidRDefault="00103288" w:rsidP="00521EF3">
      <w:r>
        <w:rPr>
          <w:noProof/>
        </w:rPr>
        <w:lastRenderedPageBreak/>
        <w:drawing>
          <wp:inline distT="0" distB="0" distL="0" distR="0" wp14:anchorId="3E2BD00A" wp14:editId="31D8EA86">
            <wp:extent cx="5943600" cy="4279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5.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14:paraId="31326B88" w14:textId="77777777" w:rsidR="004D691D" w:rsidRDefault="00103288" w:rsidP="00521EF3">
      <w:r>
        <w:t>Using FA function, ratios of Tesla were recorded</w:t>
      </w:r>
    </w:p>
    <w:p w14:paraId="76541E5D" w14:textId="77777777" w:rsidR="00103288" w:rsidRDefault="00103288" w:rsidP="00521EF3"/>
    <w:tbl>
      <w:tblPr>
        <w:tblW w:w="8258" w:type="dxa"/>
        <w:tblLook w:val="04A0" w:firstRow="1" w:lastRow="0" w:firstColumn="1" w:lastColumn="0" w:noHBand="0" w:noVBand="1"/>
      </w:tblPr>
      <w:tblGrid>
        <w:gridCol w:w="1220"/>
        <w:gridCol w:w="813"/>
        <w:gridCol w:w="813"/>
        <w:gridCol w:w="813"/>
        <w:gridCol w:w="813"/>
        <w:gridCol w:w="813"/>
        <w:gridCol w:w="813"/>
        <w:gridCol w:w="813"/>
        <w:gridCol w:w="813"/>
        <w:gridCol w:w="813"/>
        <w:gridCol w:w="813"/>
      </w:tblGrid>
      <w:tr w:rsidR="00103288" w:rsidRPr="00103288" w14:paraId="25BF5AC2" w14:textId="77777777" w:rsidTr="00103288">
        <w:trPr>
          <w:trHeight w:val="243"/>
        </w:trPr>
        <w:tc>
          <w:tcPr>
            <w:tcW w:w="1898" w:type="dxa"/>
            <w:tcBorders>
              <w:top w:val="single" w:sz="4" w:space="0" w:color="auto"/>
              <w:left w:val="single" w:sz="4" w:space="0" w:color="auto"/>
              <w:bottom w:val="nil"/>
              <w:right w:val="single" w:sz="4" w:space="0" w:color="auto"/>
            </w:tcBorders>
            <w:shd w:val="clear" w:color="000000" w:fill="4F81BD"/>
            <w:noWrap/>
            <w:vAlign w:val="bottom"/>
            <w:hideMark/>
          </w:tcPr>
          <w:p w14:paraId="141DCD73" w14:textId="77777777" w:rsidR="00103288" w:rsidRPr="00103288" w:rsidRDefault="00103288" w:rsidP="00103288">
            <w:pPr>
              <w:spacing w:after="0" w:line="240" w:lineRule="auto"/>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In Millions of USD except Per Share</w:t>
            </w:r>
          </w:p>
        </w:tc>
        <w:tc>
          <w:tcPr>
            <w:tcW w:w="636" w:type="dxa"/>
            <w:tcBorders>
              <w:top w:val="single" w:sz="4" w:space="0" w:color="auto"/>
              <w:left w:val="nil"/>
              <w:bottom w:val="nil"/>
              <w:right w:val="single" w:sz="4" w:space="0" w:color="auto"/>
            </w:tcBorders>
            <w:shd w:val="clear" w:color="000000" w:fill="4F81BD"/>
            <w:noWrap/>
            <w:vAlign w:val="bottom"/>
            <w:hideMark/>
          </w:tcPr>
          <w:p w14:paraId="565F6B66"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2015</w:t>
            </w:r>
          </w:p>
        </w:tc>
        <w:tc>
          <w:tcPr>
            <w:tcW w:w="636" w:type="dxa"/>
            <w:tcBorders>
              <w:top w:val="single" w:sz="4" w:space="0" w:color="auto"/>
              <w:left w:val="nil"/>
              <w:bottom w:val="nil"/>
              <w:right w:val="single" w:sz="4" w:space="0" w:color="auto"/>
            </w:tcBorders>
            <w:shd w:val="clear" w:color="000000" w:fill="4F81BD"/>
            <w:noWrap/>
            <w:vAlign w:val="bottom"/>
            <w:hideMark/>
          </w:tcPr>
          <w:p w14:paraId="25A811DB"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2016</w:t>
            </w:r>
          </w:p>
        </w:tc>
        <w:tc>
          <w:tcPr>
            <w:tcW w:w="636" w:type="dxa"/>
            <w:tcBorders>
              <w:top w:val="single" w:sz="4" w:space="0" w:color="auto"/>
              <w:left w:val="nil"/>
              <w:bottom w:val="nil"/>
              <w:right w:val="single" w:sz="4" w:space="0" w:color="auto"/>
            </w:tcBorders>
            <w:shd w:val="clear" w:color="000000" w:fill="4F81BD"/>
            <w:noWrap/>
            <w:vAlign w:val="bottom"/>
            <w:hideMark/>
          </w:tcPr>
          <w:p w14:paraId="3BC1C451"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2017</w:t>
            </w:r>
          </w:p>
        </w:tc>
        <w:tc>
          <w:tcPr>
            <w:tcW w:w="636" w:type="dxa"/>
            <w:tcBorders>
              <w:top w:val="single" w:sz="4" w:space="0" w:color="auto"/>
              <w:left w:val="nil"/>
              <w:bottom w:val="nil"/>
              <w:right w:val="single" w:sz="4" w:space="0" w:color="auto"/>
            </w:tcBorders>
            <w:shd w:val="clear" w:color="000000" w:fill="4F81BD"/>
            <w:noWrap/>
            <w:vAlign w:val="bottom"/>
            <w:hideMark/>
          </w:tcPr>
          <w:p w14:paraId="13953564"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2018</w:t>
            </w:r>
          </w:p>
        </w:tc>
        <w:tc>
          <w:tcPr>
            <w:tcW w:w="636" w:type="dxa"/>
            <w:tcBorders>
              <w:top w:val="single" w:sz="4" w:space="0" w:color="auto"/>
              <w:left w:val="nil"/>
              <w:bottom w:val="nil"/>
              <w:right w:val="single" w:sz="4" w:space="0" w:color="auto"/>
            </w:tcBorders>
            <w:shd w:val="clear" w:color="000000" w:fill="4F81BD"/>
            <w:noWrap/>
            <w:vAlign w:val="bottom"/>
            <w:hideMark/>
          </w:tcPr>
          <w:p w14:paraId="5E2DE843"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2019</w:t>
            </w:r>
          </w:p>
        </w:tc>
        <w:tc>
          <w:tcPr>
            <w:tcW w:w="636" w:type="dxa"/>
            <w:tcBorders>
              <w:top w:val="single" w:sz="4" w:space="0" w:color="auto"/>
              <w:left w:val="nil"/>
              <w:bottom w:val="nil"/>
              <w:right w:val="single" w:sz="4" w:space="0" w:color="auto"/>
            </w:tcBorders>
            <w:shd w:val="clear" w:color="000000" w:fill="4F81BD"/>
            <w:noWrap/>
            <w:vAlign w:val="bottom"/>
            <w:hideMark/>
          </w:tcPr>
          <w:p w14:paraId="22342F41"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2020</w:t>
            </w:r>
          </w:p>
        </w:tc>
        <w:tc>
          <w:tcPr>
            <w:tcW w:w="636" w:type="dxa"/>
            <w:tcBorders>
              <w:top w:val="single" w:sz="4" w:space="0" w:color="auto"/>
              <w:left w:val="nil"/>
              <w:bottom w:val="nil"/>
              <w:right w:val="single" w:sz="4" w:space="0" w:color="auto"/>
            </w:tcBorders>
            <w:shd w:val="clear" w:color="000000" w:fill="4F81BD"/>
            <w:noWrap/>
            <w:vAlign w:val="bottom"/>
            <w:hideMark/>
          </w:tcPr>
          <w:p w14:paraId="47058D15"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2021</w:t>
            </w:r>
          </w:p>
        </w:tc>
        <w:tc>
          <w:tcPr>
            <w:tcW w:w="636" w:type="dxa"/>
            <w:tcBorders>
              <w:top w:val="single" w:sz="4" w:space="0" w:color="auto"/>
              <w:left w:val="nil"/>
              <w:bottom w:val="nil"/>
              <w:right w:val="single" w:sz="4" w:space="0" w:color="auto"/>
            </w:tcBorders>
            <w:shd w:val="clear" w:color="000000" w:fill="4F81BD"/>
            <w:noWrap/>
            <w:vAlign w:val="bottom"/>
            <w:hideMark/>
          </w:tcPr>
          <w:p w14:paraId="3B022882"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Last 12M</w:t>
            </w:r>
          </w:p>
        </w:tc>
        <w:tc>
          <w:tcPr>
            <w:tcW w:w="636" w:type="dxa"/>
            <w:tcBorders>
              <w:top w:val="single" w:sz="4" w:space="0" w:color="auto"/>
              <w:left w:val="nil"/>
              <w:bottom w:val="nil"/>
              <w:right w:val="single" w:sz="4" w:space="0" w:color="auto"/>
            </w:tcBorders>
            <w:shd w:val="clear" w:color="000000" w:fill="4F81BD"/>
            <w:noWrap/>
            <w:vAlign w:val="bottom"/>
            <w:hideMark/>
          </w:tcPr>
          <w:p w14:paraId="5CD8E0D0"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2022 Est</w:t>
            </w:r>
          </w:p>
        </w:tc>
        <w:tc>
          <w:tcPr>
            <w:tcW w:w="636" w:type="dxa"/>
            <w:tcBorders>
              <w:top w:val="single" w:sz="4" w:space="0" w:color="auto"/>
              <w:left w:val="nil"/>
              <w:bottom w:val="nil"/>
              <w:right w:val="single" w:sz="4" w:space="0" w:color="auto"/>
            </w:tcBorders>
            <w:shd w:val="clear" w:color="000000" w:fill="4F81BD"/>
            <w:noWrap/>
            <w:vAlign w:val="bottom"/>
            <w:hideMark/>
          </w:tcPr>
          <w:p w14:paraId="07356063"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FY 2023 Est</w:t>
            </w:r>
          </w:p>
        </w:tc>
      </w:tr>
      <w:tr w:rsidR="00103288" w:rsidRPr="00103288" w14:paraId="7021F2C1" w14:textId="77777777" w:rsidTr="00103288">
        <w:trPr>
          <w:trHeight w:val="243"/>
        </w:trPr>
        <w:tc>
          <w:tcPr>
            <w:tcW w:w="1898" w:type="dxa"/>
            <w:tcBorders>
              <w:top w:val="nil"/>
              <w:left w:val="single" w:sz="4" w:space="0" w:color="auto"/>
              <w:bottom w:val="single" w:sz="4" w:space="0" w:color="auto"/>
              <w:right w:val="single" w:sz="4" w:space="0" w:color="auto"/>
            </w:tcBorders>
            <w:shd w:val="clear" w:color="000000" w:fill="4F81BD"/>
            <w:noWrap/>
            <w:vAlign w:val="bottom"/>
            <w:hideMark/>
          </w:tcPr>
          <w:p w14:paraId="39097F12" w14:textId="77777777" w:rsidR="00103288" w:rsidRPr="00103288" w:rsidRDefault="00103288" w:rsidP="00103288">
            <w:pPr>
              <w:spacing w:after="0" w:line="240" w:lineRule="auto"/>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 Months Ending</w:t>
            </w:r>
          </w:p>
        </w:tc>
        <w:tc>
          <w:tcPr>
            <w:tcW w:w="636" w:type="dxa"/>
            <w:tcBorders>
              <w:top w:val="nil"/>
              <w:left w:val="nil"/>
              <w:bottom w:val="single" w:sz="4" w:space="0" w:color="auto"/>
              <w:right w:val="single" w:sz="4" w:space="0" w:color="auto"/>
            </w:tcBorders>
            <w:shd w:val="clear" w:color="000000" w:fill="4F81BD"/>
            <w:noWrap/>
            <w:vAlign w:val="bottom"/>
            <w:hideMark/>
          </w:tcPr>
          <w:p w14:paraId="3C5CB107"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12/31/2015</w:t>
            </w:r>
          </w:p>
        </w:tc>
        <w:tc>
          <w:tcPr>
            <w:tcW w:w="636" w:type="dxa"/>
            <w:tcBorders>
              <w:top w:val="nil"/>
              <w:left w:val="nil"/>
              <w:bottom w:val="single" w:sz="4" w:space="0" w:color="auto"/>
              <w:right w:val="single" w:sz="4" w:space="0" w:color="auto"/>
            </w:tcBorders>
            <w:shd w:val="clear" w:color="000000" w:fill="4F81BD"/>
            <w:noWrap/>
            <w:vAlign w:val="bottom"/>
            <w:hideMark/>
          </w:tcPr>
          <w:p w14:paraId="4B002B11"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12/31/2016</w:t>
            </w:r>
          </w:p>
        </w:tc>
        <w:tc>
          <w:tcPr>
            <w:tcW w:w="636" w:type="dxa"/>
            <w:tcBorders>
              <w:top w:val="nil"/>
              <w:left w:val="nil"/>
              <w:bottom w:val="single" w:sz="4" w:space="0" w:color="auto"/>
              <w:right w:val="single" w:sz="4" w:space="0" w:color="auto"/>
            </w:tcBorders>
            <w:shd w:val="clear" w:color="000000" w:fill="4F81BD"/>
            <w:noWrap/>
            <w:vAlign w:val="bottom"/>
            <w:hideMark/>
          </w:tcPr>
          <w:p w14:paraId="6080F6A0"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12/31/2017</w:t>
            </w:r>
          </w:p>
        </w:tc>
        <w:tc>
          <w:tcPr>
            <w:tcW w:w="636" w:type="dxa"/>
            <w:tcBorders>
              <w:top w:val="nil"/>
              <w:left w:val="nil"/>
              <w:bottom w:val="single" w:sz="4" w:space="0" w:color="auto"/>
              <w:right w:val="single" w:sz="4" w:space="0" w:color="auto"/>
            </w:tcBorders>
            <w:shd w:val="clear" w:color="000000" w:fill="4F81BD"/>
            <w:noWrap/>
            <w:vAlign w:val="bottom"/>
            <w:hideMark/>
          </w:tcPr>
          <w:p w14:paraId="4E8254F4"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12/31/2018</w:t>
            </w:r>
          </w:p>
        </w:tc>
        <w:tc>
          <w:tcPr>
            <w:tcW w:w="636" w:type="dxa"/>
            <w:tcBorders>
              <w:top w:val="nil"/>
              <w:left w:val="nil"/>
              <w:bottom w:val="single" w:sz="4" w:space="0" w:color="auto"/>
              <w:right w:val="single" w:sz="4" w:space="0" w:color="auto"/>
            </w:tcBorders>
            <w:shd w:val="clear" w:color="000000" w:fill="4F81BD"/>
            <w:noWrap/>
            <w:vAlign w:val="bottom"/>
            <w:hideMark/>
          </w:tcPr>
          <w:p w14:paraId="79020601"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12/31/2019</w:t>
            </w:r>
          </w:p>
        </w:tc>
        <w:tc>
          <w:tcPr>
            <w:tcW w:w="636" w:type="dxa"/>
            <w:tcBorders>
              <w:top w:val="nil"/>
              <w:left w:val="nil"/>
              <w:bottom w:val="single" w:sz="4" w:space="0" w:color="auto"/>
              <w:right w:val="single" w:sz="4" w:space="0" w:color="auto"/>
            </w:tcBorders>
            <w:shd w:val="clear" w:color="000000" w:fill="4F81BD"/>
            <w:noWrap/>
            <w:vAlign w:val="bottom"/>
            <w:hideMark/>
          </w:tcPr>
          <w:p w14:paraId="5DAD4DBF"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12/31/2020</w:t>
            </w:r>
          </w:p>
        </w:tc>
        <w:tc>
          <w:tcPr>
            <w:tcW w:w="636" w:type="dxa"/>
            <w:tcBorders>
              <w:top w:val="nil"/>
              <w:left w:val="nil"/>
              <w:bottom w:val="single" w:sz="4" w:space="0" w:color="auto"/>
              <w:right w:val="single" w:sz="4" w:space="0" w:color="auto"/>
            </w:tcBorders>
            <w:shd w:val="clear" w:color="000000" w:fill="4F81BD"/>
            <w:noWrap/>
            <w:vAlign w:val="bottom"/>
            <w:hideMark/>
          </w:tcPr>
          <w:p w14:paraId="5C8C7C1D"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12/31/2021</w:t>
            </w:r>
          </w:p>
        </w:tc>
        <w:tc>
          <w:tcPr>
            <w:tcW w:w="636" w:type="dxa"/>
            <w:tcBorders>
              <w:top w:val="nil"/>
              <w:left w:val="nil"/>
              <w:bottom w:val="single" w:sz="4" w:space="0" w:color="auto"/>
              <w:right w:val="single" w:sz="4" w:space="0" w:color="auto"/>
            </w:tcBorders>
            <w:shd w:val="clear" w:color="000000" w:fill="4F81BD"/>
            <w:noWrap/>
            <w:vAlign w:val="bottom"/>
            <w:hideMark/>
          </w:tcPr>
          <w:p w14:paraId="14825BAD"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06/30/2022</w:t>
            </w:r>
          </w:p>
        </w:tc>
        <w:tc>
          <w:tcPr>
            <w:tcW w:w="636" w:type="dxa"/>
            <w:tcBorders>
              <w:top w:val="nil"/>
              <w:left w:val="nil"/>
              <w:bottom w:val="single" w:sz="4" w:space="0" w:color="auto"/>
              <w:right w:val="single" w:sz="4" w:space="0" w:color="auto"/>
            </w:tcBorders>
            <w:shd w:val="clear" w:color="000000" w:fill="4F81BD"/>
            <w:noWrap/>
            <w:vAlign w:val="bottom"/>
            <w:hideMark/>
          </w:tcPr>
          <w:p w14:paraId="6803A7FA"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12/31/2022</w:t>
            </w:r>
          </w:p>
        </w:tc>
        <w:tc>
          <w:tcPr>
            <w:tcW w:w="636" w:type="dxa"/>
            <w:tcBorders>
              <w:top w:val="nil"/>
              <w:left w:val="nil"/>
              <w:bottom w:val="single" w:sz="4" w:space="0" w:color="auto"/>
              <w:right w:val="single" w:sz="4" w:space="0" w:color="auto"/>
            </w:tcBorders>
            <w:shd w:val="clear" w:color="000000" w:fill="4F81BD"/>
            <w:noWrap/>
            <w:vAlign w:val="bottom"/>
            <w:hideMark/>
          </w:tcPr>
          <w:p w14:paraId="6F50217F" w14:textId="77777777" w:rsidR="00103288" w:rsidRPr="00103288" w:rsidRDefault="00103288" w:rsidP="00103288">
            <w:pPr>
              <w:spacing w:after="0" w:line="240" w:lineRule="auto"/>
              <w:jc w:val="right"/>
              <w:rPr>
                <w:rFonts w:ascii="Arial" w:eastAsia="Times New Roman" w:hAnsi="Arial" w:cs="Arial"/>
                <w:b/>
                <w:bCs/>
                <w:color w:val="FFFFFF"/>
                <w:sz w:val="20"/>
                <w:szCs w:val="20"/>
              </w:rPr>
            </w:pPr>
            <w:r w:rsidRPr="00103288">
              <w:rPr>
                <w:rFonts w:ascii="Arial" w:eastAsia="Times New Roman" w:hAnsi="Arial" w:cs="Arial"/>
                <w:b/>
                <w:bCs/>
                <w:color w:val="FFFFFF"/>
                <w:sz w:val="20"/>
                <w:szCs w:val="20"/>
              </w:rPr>
              <w:t>12/31/2023</w:t>
            </w:r>
          </w:p>
        </w:tc>
      </w:tr>
      <w:tr w:rsidR="00103288" w:rsidRPr="00103288" w14:paraId="70F6D9EB" w14:textId="77777777" w:rsidTr="00103288">
        <w:trPr>
          <w:trHeight w:val="243"/>
        </w:trPr>
        <w:tc>
          <w:tcPr>
            <w:tcW w:w="1898" w:type="dxa"/>
            <w:tcBorders>
              <w:top w:val="nil"/>
              <w:left w:val="single" w:sz="4" w:space="0" w:color="auto"/>
              <w:bottom w:val="nil"/>
              <w:right w:val="nil"/>
            </w:tcBorders>
            <w:shd w:val="clear" w:color="000000" w:fill="FFFFFF"/>
            <w:noWrap/>
            <w:vAlign w:val="bottom"/>
            <w:hideMark/>
          </w:tcPr>
          <w:p w14:paraId="616ACC6C" w14:textId="77777777" w:rsidR="00103288" w:rsidRPr="00103288" w:rsidRDefault="00103288" w:rsidP="00103288">
            <w:pPr>
              <w:spacing w:after="0" w:line="240" w:lineRule="auto"/>
              <w:rPr>
                <w:rFonts w:ascii="Arial" w:eastAsia="Times New Roman" w:hAnsi="Arial" w:cs="Arial"/>
                <w:color w:val="333333"/>
                <w:sz w:val="20"/>
                <w:szCs w:val="20"/>
              </w:rPr>
            </w:pPr>
            <w:r w:rsidRPr="00103288">
              <w:rPr>
                <w:rFonts w:ascii="Arial" w:eastAsia="Times New Roman" w:hAnsi="Arial" w:cs="Arial"/>
                <w:color w:val="333333"/>
                <w:sz w:val="20"/>
                <w:szCs w:val="20"/>
              </w:rPr>
              <w:t>Return on Assets</w:t>
            </w:r>
          </w:p>
        </w:tc>
        <w:tc>
          <w:tcPr>
            <w:tcW w:w="636" w:type="dxa"/>
            <w:tcBorders>
              <w:top w:val="nil"/>
              <w:left w:val="single" w:sz="4" w:space="0" w:color="auto"/>
              <w:bottom w:val="nil"/>
              <w:right w:val="single" w:sz="4" w:space="0" w:color="auto"/>
            </w:tcBorders>
            <w:shd w:val="clear" w:color="000000" w:fill="FFFFFF"/>
            <w:noWrap/>
            <w:vAlign w:val="bottom"/>
            <w:hideMark/>
          </w:tcPr>
          <w:p w14:paraId="5931443E"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-12.79</w:t>
            </w:r>
          </w:p>
        </w:tc>
        <w:tc>
          <w:tcPr>
            <w:tcW w:w="636" w:type="dxa"/>
            <w:tcBorders>
              <w:top w:val="nil"/>
              <w:left w:val="nil"/>
              <w:bottom w:val="nil"/>
              <w:right w:val="single" w:sz="4" w:space="0" w:color="auto"/>
            </w:tcBorders>
            <w:shd w:val="clear" w:color="000000" w:fill="FFFFFF"/>
            <w:noWrap/>
            <w:vAlign w:val="bottom"/>
            <w:hideMark/>
          </w:tcPr>
          <w:p w14:paraId="5213E5C6"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-4.39</w:t>
            </w:r>
          </w:p>
        </w:tc>
        <w:tc>
          <w:tcPr>
            <w:tcW w:w="636" w:type="dxa"/>
            <w:tcBorders>
              <w:top w:val="nil"/>
              <w:left w:val="nil"/>
              <w:bottom w:val="nil"/>
              <w:right w:val="single" w:sz="4" w:space="0" w:color="auto"/>
            </w:tcBorders>
            <w:shd w:val="clear" w:color="000000" w:fill="FFFFFF"/>
            <w:noWrap/>
            <w:vAlign w:val="bottom"/>
            <w:hideMark/>
          </w:tcPr>
          <w:p w14:paraId="6062C24E"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-7.64</w:t>
            </w:r>
          </w:p>
        </w:tc>
        <w:tc>
          <w:tcPr>
            <w:tcW w:w="636" w:type="dxa"/>
            <w:tcBorders>
              <w:top w:val="nil"/>
              <w:left w:val="nil"/>
              <w:bottom w:val="nil"/>
              <w:right w:val="single" w:sz="4" w:space="0" w:color="auto"/>
            </w:tcBorders>
            <w:shd w:val="clear" w:color="000000" w:fill="FFFFFF"/>
            <w:noWrap/>
            <w:vAlign w:val="bottom"/>
            <w:hideMark/>
          </w:tcPr>
          <w:p w14:paraId="47C52152"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-3.34</w:t>
            </w:r>
          </w:p>
        </w:tc>
        <w:tc>
          <w:tcPr>
            <w:tcW w:w="636" w:type="dxa"/>
            <w:tcBorders>
              <w:top w:val="nil"/>
              <w:left w:val="nil"/>
              <w:bottom w:val="nil"/>
              <w:right w:val="single" w:sz="4" w:space="0" w:color="auto"/>
            </w:tcBorders>
            <w:shd w:val="clear" w:color="000000" w:fill="FFFFFF"/>
            <w:noWrap/>
            <w:vAlign w:val="bottom"/>
            <w:hideMark/>
          </w:tcPr>
          <w:p w14:paraId="709C31B6"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-2.69</w:t>
            </w:r>
          </w:p>
        </w:tc>
        <w:tc>
          <w:tcPr>
            <w:tcW w:w="636" w:type="dxa"/>
            <w:tcBorders>
              <w:top w:val="nil"/>
              <w:left w:val="nil"/>
              <w:bottom w:val="nil"/>
              <w:right w:val="single" w:sz="4" w:space="0" w:color="auto"/>
            </w:tcBorders>
            <w:shd w:val="clear" w:color="000000" w:fill="FFFFFF"/>
            <w:noWrap/>
            <w:vAlign w:val="bottom"/>
            <w:hideMark/>
          </w:tcPr>
          <w:p w14:paraId="332BF4AD"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1.67</w:t>
            </w:r>
          </w:p>
        </w:tc>
        <w:tc>
          <w:tcPr>
            <w:tcW w:w="636" w:type="dxa"/>
            <w:tcBorders>
              <w:top w:val="nil"/>
              <w:left w:val="nil"/>
              <w:bottom w:val="nil"/>
              <w:right w:val="single" w:sz="4" w:space="0" w:color="auto"/>
            </w:tcBorders>
            <w:shd w:val="clear" w:color="000000" w:fill="FFFFFF"/>
            <w:noWrap/>
            <w:vAlign w:val="bottom"/>
            <w:hideMark/>
          </w:tcPr>
          <w:p w14:paraId="38565781"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9.66</w:t>
            </w:r>
          </w:p>
        </w:tc>
        <w:tc>
          <w:tcPr>
            <w:tcW w:w="636" w:type="dxa"/>
            <w:tcBorders>
              <w:top w:val="nil"/>
              <w:left w:val="nil"/>
              <w:bottom w:val="nil"/>
              <w:right w:val="single" w:sz="4" w:space="0" w:color="auto"/>
            </w:tcBorders>
            <w:shd w:val="clear" w:color="000000" w:fill="D8D8D8"/>
            <w:noWrap/>
            <w:vAlign w:val="bottom"/>
            <w:hideMark/>
          </w:tcPr>
          <w:p w14:paraId="6367D4B7"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15.39</w:t>
            </w:r>
          </w:p>
        </w:tc>
        <w:tc>
          <w:tcPr>
            <w:tcW w:w="636" w:type="dxa"/>
            <w:tcBorders>
              <w:top w:val="nil"/>
              <w:left w:val="nil"/>
              <w:bottom w:val="nil"/>
              <w:right w:val="single" w:sz="4" w:space="0" w:color="auto"/>
            </w:tcBorders>
            <w:shd w:val="clear" w:color="000000" w:fill="FFFFFF"/>
            <w:noWrap/>
            <w:vAlign w:val="bottom"/>
            <w:hideMark/>
          </w:tcPr>
          <w:p w14:paraId="21585D0E"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19.17</w:t>
            </w:r>
          </w:p>
        </w:tc>
        <w:tc>
          <w:tcPr>
            <w:tcW w:w="636" w:type="dxa"/>
            <w:tcBorders>
              <w:top w:val="nil"/>
              <w:left w:val="nil"/>
              <w:bottom w:val="nil"/>
              <w:right w:val="single" w:sz="4" w:space="0" w:color="auto"/>
            </w:tcBorders>
            <w:shd w:val="clear" w:color="000000" w:fill="FFFFFF"/>
            <w:noWrap/>
            <w:vAlign w:val="bottom"/>
            <w:hideMark/>
          </w:tcPr>
          <w:p w14:paraId="55F69D21"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16.70</w:t>
            </w:r>
          </w:p>
        </w:tc>
      </w:tr>
      <w:tr w:rsidR="00103288" w:rsidRPr="00103288" w14:paraId="21972B75" w14:textId="77777777" w:rsidTr="00103288">
        <w:trPr>
          <w:trHeight w:val="243"/>
        </w:trPr>
        <w:tc>
          <w:tcPr>
            <w:tcW w:w="1898" w:type="dxa"/>
            <w:tcBorders>
              <w:top w:val="nil"/>
              <w:left w:val="single" w:sz="4" w:space="0" w:color="auto"/>
              <w:bottom w:val="nil"/>
              <w:right w:val="nil"/>
            </w:tcBorders>
            <w:shd w:val="clear" w:color="000000" w:fill="FFFFFF"/>
            <w:noWrap/>
            <w:vAlign w:val="bottom"/>
            <w:hideMark/>
          </w:tcPr>
          <w:p w14:paraId="491311E5" w14:textId="77777777" w:rsidR="00103288" w:rsidRPr="00103288" w:rsidRDefault="00103288" w:rsidP="00103288">
            <w:pPr>
              <w:spacing w:after="0" w:line="240" w:lineRule="auto"/>
              <w:rPr>
                <w:rFonts w:ascii="Arial" w:eastAsia="Times New Roman" w:hAnsi="Arial" w:cs="Arial"/>
                <w:color w:val="333333"/>
                <w:sz w:val="20"/>
                <w:szCs w:val="20"/>
              </w:rPr>
            </w:pPr>
            <w:r w:rsidRPr="00103288">
              <w:rPr>
                <w:rFonts w:ascii="Arial" w:eastAsia="Times New Roman" w:hAnsi="Arial" w:cs="Arial"/>
                <w:color w:val="333333"/>
                <w:sz w:val="20"/>
                <w:szCs w:val="20"/>
              </w:rPr>
              <w:t>Return on Common Equity</w:t>
            </w:r>
          </w:p>
        </w:tc>
        <w:tc>
          <w:tcPr>
            <w:tcW w:w="636" w:type="dxa"/>
            <w:tcBorders>
              <w:top w:val="nil"/>
              <w:left w:val="single" w:sz="4" w:space="0" w:color="auto"/>
              <w:bottom w:val="nil"/>
              <w:right w:val="single" w:sz="4" w:space="0" w:color="auto"/>
            </w:tcBorders>
            <w:shd w:val="clear" w:color="000000" w:fill="FFFFFF"/>
            <w:noWrap/>
            <w:vAlign w:val="bottom"/>
            <w:hideMark/>
          </w:tcPr>
          <w:p w14:paraId="7BA24C0A"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-87.01</w:t>
            </w:r>
          </w:p>
        </w:tc>
        <w:tc>
          <w:tcPr>
            <w:tcW w:w="636" w:type="dxa"/>
            <w:tcBorders>
              <w:top w:val="nil"/>
              <w:left w:val="nil"/>
              <w:bottom w:val="nil"/>
              <w:right w:val="single" w:sz="4" w:space="0" w:color="auto"/>
            </w:tcBorders>
            <w:shd w:val="clear" w:color="000000" w:fill="FFFFFF"/>
            <w:noWrap/>
            <w:vAlign w:val="bottom"/>
            <w:hideMark/>
          </w:tcPr>
          <w:p w14:paraId="1C4C1146"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-22.91</w:t>
            </w:r>
          </w:p>
        </w:tc>
        <w:tc>
          <w:tcPr>
            <w:tcW w:w="636" w:type="dxa"/>
            <w:tcBorders>
              <w:top w:val="nil"/>
              <w:left w:val="nil"/>
              <w:bottom w:val="nil"/>
              <w:right w:val="single" w:sz="4" w:space="0" w:color="auto"/>
            </w:tcBorders>
            <w:shd w:val="clear" w:color="000000" w:fill="FFFFFF"/>
            <w:noWrap/>
            <w:vAlign w:val="bottom"/>
            <w:hideMark/>
          </w:tcPr>
          <w:p w14:paraId="2D3F64CD"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-43.59</w:t>
            </w:r>
          </w:p>
        </w:tc>
        <w:tc>
          <w:tcPr>
            <w:tcW w:w="636" w:type="dxa"/>
            <w:tcBorders>
              <w:top w:val="nil"/>
              <w:left w:val="nil"/>
              <w:bottom w:val="nil"/>
              <w:right w:val="single" w:sz="4" w:space="0" w:color="auto"/>
            </w:tcBorders>
            <w:shd w:val="clear" w:color="000000" w:fill="FFFFFF"/>
            <w:noWrap/>
            <w:vAlign w:val="bottom"/>
            <w:hideMark/>
          </w:tcPr>
          <w:p w14:paraId="740AD30D"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-21.31</w:t>
            </w:r>
          </w:p>
        </w:tc>
        <w:tc>
          <w:tcPr>
            <w:tcW w:w="636" w:type="dxa"/>
            <w:tcBorders>
              <w:top w:val="nil"/>
              <w:left w:val="nil"/>
              <w:bottom w:val="nil"/>
              <w:right w:val="single" w:sz="4" w:space="0" w:color="auto"/>
            </w:tcBorders>
            <w:shd w:val="clear" w:color="000000" w:fill="FFFFFF"/>
            <w:noWrap/>
            <w:vAlign w:val="bottom"/>
            <w:hideMark/>
          </w:tcPr>
          <w:p w14:paraId="5E4F9DF8"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-14.94</w:t>
            </w:r>
          </w:p>
        </w:tc>
        <w:tc>
          <w:tcPr>
            <w:tcW w:w="636" w:type="dxa"/>
            <w:tcBorders>
              <w:top w:val="nil"/>
              <w:left w:val="nil"/>
              <w:bottom w:val="nil"/>
              <w:right w:val="single" w:sz="4" w:space="0" w:color="auto"/>
            </w:tcBorders>
            <w:shd w:val="clear" w:color="000000" w:fill="FFFFFF"/>
            <w:noWrap/>
            <w:vAlign w:val="bottom"/>
            <w:hideMark/>
          </w:tcPr>
          <w:p w14:paraId="2F6C23DD"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4.78</w:t>
            </w:r>
          </w:p>
        </w:tc>
        <w:tc>
          <w:tcPr>
            <w:tcW w:w="636" w:type="dxa"/>
            <w:tcBorders>
              <w:top w:val="nil"/>
              <w:left w:val="nil"/>
              <w:bottom w:val="nil"/>
              <w:right w:val="single" w:sz="4" w:space="0" w:color="auto"/>
            </w:tcBorders>
            <w:shd w:val="clear" w:color="000000" w:fill="FFFFFF"/>
            <w:noWrap/>
            <w:vAlign w:val="bottom"/>
            <w:hideMark/>
          </w:tcPr>
          <w:p w14:paraId="62A896EC"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21.04</w:t>
            </w:r>
          </w:p>
        </w:tc>
        <w:tc>
          <w:tcPr>
            <w:tcW w:w="636" w:type="dxa"/>
            <w:tcBorders>
              <w:top w:val="nil"/>
              <w:left w:val="nil"/>
              <w:bottom w:val="nil"/>
              <w:right w:val="single" w:sz="4" w:space="0" w:color="auto"/>
            </w:tcBorders>
            <w:shd w:val="clear" w:color="000000" w:fill="D8D8D8"/>
            <w:noWrap/>
            <w:vAlign w:val="bottom"/>
            <w:hideMark/>
          </w:tcPr>
          <w:p w14:paraId="78B2BA11"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31.11</w:t>
            </w:r>
          </w:p>
        </w:tc>
        <w:tc>
          <w:tcPr>
            <w:tcW w:w="636" w:type="dxa"/>
            <w:tcBorders>
              <w:top w:val="nil"/>
              <w:left w:val="nil"/>
              <w:bottom w:val="nil"/>
              <w:right w:val="single" w:sz="4" w:space="0" w:color="auto"/>
            </w:tcBorders>
            <w:shd w:val="clear" w:color="000000" w:fill="FFFFFF"/>
            <w:noWrap/>
            <w:vAlign w:val="bottom"/>
            <w:hideMark/>
          </w:tcPr>
          <w:p w14:paraId="7B991250"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33.64</w:t>
            </w:r>
          </w:p>
        </w:tc>
        <w:tc>
          <w:tcPr>
            <w:tcW w:w="636" w:type="dxa"/>
            <w:tcBorders>
              <w:top w:val="nil"/>
              <w:left w:val="nil"/>
              <w:bottom w:val="nil"/>
              <w:right w:val="single" w:sz="4" w:space="0" w:color="auto"/>
            </w:tcBorders>
            <w:shd w:val="clear" w:color="000000" w:fill="FFFFFF"/>
            <w:noWrap/>
            <w:vAlign w:val="bottom"/>
            <w:hideMark/>
          </w:tcPr>
          <w:p w14:paraId="3A6075E2"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33.25</w:t>
            </w:r>
          </w:p>
        </w:tc>
      </w:tr>
      <w:tr w:rsidR="00103288" w:rsidRPr="00103288" w14:paraId="5B562074" w14:textId="77777777" w:rsidTr="00103288">
        <w:trPr>
          <w:trHeight w:val="243"/>
        </w:trPr>
        <w:tc>
          <w:tcPr>
            <w:tcW w:w="1898" w:type="dxa"/>
            <w:tcBorders>
              <w:top w:val="nil"/>
              <w:left w:val="single" w:sz="4" w:space="0" w:color="auto"/>
              <w:bottom w:val="nil"/>
              <w:right w:val="nil"/>
            </w:tcBorders>
            <w:shd w:val="clear" w:color="000000" w:fill="FFFFFF"/>
            <w:noWrap/>
            <w:vAlign w:val="bottom"/>
            <w:hideMark/>
          </w:tcPr>
          <w:p w14:paraId="3F6ADE80" w14:textId="77777777" w:rsidR="00103288" w:rsidRPr="00103288" w:rsidRDefault="00103288" w:rsidP="00103288">
            <w:pPr>
              <w:spacing w:after="0" w:line="240" w:lineRule="auto"/>
              <w:rPr>
                <w:rFonts w:ascii="Arial" w:eastAsia="Times New Roman" w:hAnsi="Arial" w:cs="Arial"/>
                <w:color w:val="333333"/>
                <w:sz w:val="20"/>
                <w:szCs w:val="20"/>
              </w:rPr>
            </w:pPr>
            <w:r w:rsidRPr="00103288">
              <w:rPr>
                <w:rFonts w:ascii="Arial" w:eastAsia="Times New Roman" w:hAnsi="Arial" w:cs="Arial"/>
                <w:color w:val="333333"/>
                <w:sz w:val="20"/>
                <w:szCs w:val="20"/>
              </w:rPr>
              <w:t>Profit Margin</w:t>
            </w:r>
          </w:p>
        </w:tc>
        <w:tc>
          <w:tcPr>
            <w:tcW w:w="636" w:type="dxa"/>
            <w:tcBorders>
              <w:top w:val="nil"/>
              <w:left w:val="single" w:sz="4" w:space="0" w:color="auto"/>
              <w:bottom w:val="nil"/>
              <w:right w:val="single" w:sz="4" w:space="0" w:color="auto"/>
            </w:tcBorders>
            <w:shd w:val="clear" w:color="000000" w:fill="FFFFFF"/>
            <w:noWrap/>
            <w:vAlign w:val="bottom"/>
            <w:hideMark/>
          </w:tcPr>
          <w:p w14:paraId="01E6BAC8"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-21.96</w:t>
            </w:r>
          </w:p>
        </w:tc>
        <w:tc>
          <w:tcPr>
            <w:tcW w:w="636" w:type="dxa"/>
            <w:tcBorders>
              <w:top w:val="nil"/>
              <w:left w:val="nil"/>
              <w:bottom w:val="nil"/>
              <w:right w:val="single" w:sz="4" w:space="0" w:color="auto"/>
            </w:tcBorders>
            <w:shd w:val="clear" w:color="000000" w:fill="FFFFFF"/>
            <w:noWrap/>
            <w:vAlign w:val="bottom"/>
            <w:hideMark/>
          </w:tcPr>
          <w:p w14:paraId="0B983BD0"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-9.64</w:t>
            </w:r>
          </w:p>
        </w:tc>
        <w:tc>
          <w:tcPr>
            <w:tcW w:w="636" w:type="dxa"/>
            <w:tcBorders>
              <w:top w:val="nil"/>
              <w:left w:val="nil"/>
              <w:bottom w:val="nil"/>
              <w:right w:val="single" w:sz="4" w:space="0" w:color="auto"/>
            </w:tcBorders>
            <w:shd w:val="clear" w:color="000000" w:fill="FFFFFF"/>
            <w:noWrap/>
            <w:vAlign w:val="bottom"/>
            <w:hideMark/>
          </w:tcPr>
          <w:p w14:paraId="6A3B5408"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-16.68</w:t>
            </w:r>
          </w:p>
        </w:tc>
        <w:tc>
          <w:tcPr>
            <w:tcW w:w="636" w:type="dxa"/>
            <w:tcBorders>
              <w:top w:val="nil"/>
              <w:left w:val="nil"/>
              <w:bottom w:val="nil"/>
              <w:right w:val="single" w:sz="4" w:space="0" w:color="auto"/>
            </w:tcBorders>
            <w:shd w:val="clear" w:color="000000" w:fill="FFFFFF"/>
            <w:noWrap/>
            <w:vAlign w:val="bottom"/>
            <w:hideMark/>
          </w:tcPr>
          <w:p w14:paraId="0113B3F5"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-4.55</w:t>
            </w:r>
          </w:p>
        </w:tc>
        <w:tc>
          <w:tcPr>
            <w:tcW w:w="636" w:type="dxa"/>
            <w:tcBorders>
              <w:top w:val="nil"/>
              <w:left w:val="nil"/>
              <w:bottom w:val="nil"/>
              <w:right w:val="single" w:sz="4" w:space="0" w:color="auto"/>
            </w:tcBorders>
            <w:shd w:val="clear" w:color="000000" w:fill="FFFFFF"/>
            <w:noWrap/>
            <w:vAlign w:val="bottom"/>
            <w:hideMark/>
          </w:tcPr>
          <w:p w14:paraId="6BEB6843"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-3.51</w:t>
            </w:r>
          </w:p>
        </w:tc>
        <w:tc>
          <w:tcPr>
            <w:tcW w:w="636" w:type="dxa"/>
            <w:tcBorders>
              <w:top w:val="nil"/>
              <w:left w:val="nil"/>
              <w:bottom w:val="nil"/>
              <w:right w:val="single" w:sz="4" w:space="0" w:color="auto"/>
            </w:tcBorders>
            <w:shd w:val="clear" w:color="000000" w:fill="FFFFFF"/>
            <w:noWrap/>
            <w:vAlign w:val="bottom"/>
            <w:hideMark/>
          </w:tcPr>
          <w:p w14:paraId="410BBD44"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2.29</w:t>
            </w:r>
          </w:p>
        </w:tc>
        <w:tc>
          <w:tcPr>
            <w:tcW w:w="636" w:type="dxa"/>
            <w:tcBorders>
              <w:top w:val="nil"/>
              <w:left w:val="nil"/>
              <w:bottom w:val="nil"/>
              <w:right w:val="single" w:sz="4" w:space="0" w:color="auto"/>
            </w:tcBorders>
            <w:shd w:val="clear" w:color="000000" w:fill="FFFFFF"/>
            <w:noWrap/>
            <w:vAlign w:val="bottom"/>
            <w:hideMark/>
          </w:tcPr>
          <w:p w14:paraId="7A68A082"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10.25</w:t>
            </w:r>
          </w:p>
        </w:tc>
        <w:tc>
          <w:tcPr>
            <w:tcW w:w="636" w:type="dxa"/>
            <w:tcBorders>
              <w:top w:val="nil"/>
              <w:left w:val="nil"/>
              <w:bottom w:val="nil"/>
              <w:right w:val="single" w:sz="4" w:space="0" w:color="auto"/>
            </w:tcBorders>
            <w:shd w:val="clear" w:color="000000" w:fill="D8D8D8"/>
            <w:noWrap/>
            <w:vAlign w:val="bottom"/>
            <w:hideMark/>
          </w:tcPr>
          <w:p w14:paraId="1AE28E05"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14.17</w:t>
            </w:r>
          </w:p>
        </w:tc>
        <w:tc>
          <w:tcPr>
            <w:tcW w:w="636" w:type="dxa"/>
            <w:tcBorders>
              <w:top w:val="nil"/>
              <w:left w:val="nil"/>
              <w:bottom w:val="nil"/>
              <w:right w:val="single" w:sz="4" w:space="0" w:color="auto"/>
            </w:tcBorders>
            <w:shd w:val="clear" w:color="000000" w:fill="FFFFFF"/>
            <w:noWrap/>
            <w:vAlign w:val="bottom"/>
            <w:hideMark/>
          </w:tcPr>
          <w:p w14:paraId="006F13C9"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16.75</w:t>
            </w:r>
          </w:p>
        </w:tc>
        <w:tc>
          <w:tcPr>
            <w:tcW w:w="636" w:type="dxa"/>
            <w:tcBorders>
              <w:top w:val="nil"/>
              <w:left w:val="nil"/>
              <w:bottom w:val="nil"/>
              <w:right w:val="single" w:sz="4" w:space="0" w:color="auto"/>
            </w:tcBorders>
            <w:shd w:val="clear" w:color="000000" w:fill="FFFFFF"/>
            <w:noWrap/>
            <w:vAlign w:val="bottom"/>
            <w:hideMark/>
          </w:tcPr>
          <w:p w14:paraId="4056C1D0" w14:textId="77777777" w:rsidR="00103288" w:rsidRPr="00103288" w:rsidRDefault="00103288" w:rsidP="00103288">
            <w:pPr>
              <w:spacing w:after="0" w:line="240" w:lineRule="auto"/>
              <w:jc w:val="right"/>
              <w:rPr>
                <w:rFonts w:ascii="Arial" w:eastAsia="Times New Roman" w:hAnsi="Arial" w:cs="Arial"/>
                <w:color w:val="000000"/>
                <w:sz w:val="20"/>
                <w:szCs w:val="20"/>
              </w:rPr>
            </w:pPr>
            <w:r w:rsidRPr="00103288">
              <w:rPr>
                <w:rFonts w:ascii="Arial" w:eastAsia="Times New Roman" w:hAnsi="Arial" w:cs="Arial"/>
                <w:color w:val="000000"/>
                <w:sz w:val="20"/>
                <w:szCs w:val="20"/>
              </w:rPr>
              <w:t>16.95</w:t>
            </w:r>
          </w:p>
        </w:tc>
      </w:tr>
      <w:tr w:rsidR="00103288" w:rsidRPr="00103288" w14:paraId="065324A5" w14:textId="77777777" w:rsidTr="00103288">
        <w:trPr>
          <w:trHeight w:val="243"/>
        </w:trPr>
        <w:tc>
          <w:tcPr>
            <w:tcW w:w="1898" w:type="dxa"/>
            <w:tcBorders>
              <w:top w:val="nil"/>
              <w:left w:val="single" w:sz="4" w:space="0" w:color="auto"/>
              <w:bottom w:val="nil"/>
              <w:right w:val="nil"/>
            </w:tcBorders>
            <w:shd w:val="clear" w:color="000000" w:fill="FFFFFF"/>
            <w:noWrap/>
            <w:vAlign w:val="bottom"/>
          </w:tcPr>
          <w:p w14:paraId="1227E9EB" w14:textId="77777777" w:rsidR="00103288" w:rsidRPr="00103288" w:rsidRDefault="00103288" w:rsidP="00103288">
            <w:pPr>
              <w:spacing w:after="0" w:line="240" w:lineRule="auto"/>
              <w:rPr>
                <w:rFonts w:ascii="Arial" w:eastAsia="Times New Roman" w:hAnsi="Arial" w:cs="Arial"/>
                <w:color w:val="333333"/>
                <w:sz w:val="20"/>
                <w:szCs w:val="20"/>
              </w:rPr>
            </w:pPr>
          </w:p>
        </w:tc>
        <w:tc>
          <w:tcPr>
            <w:tcW w:w="636" w:type="dxa"/>
            <w:tcBorders>
              <w:top w:val="nil"/>
              <w:left w:val="single" w:sz="4" w:space="0" w:color="auto"/>
              <w:bottom w:val="nil"/>
              <w:right w:val="single" w:sz="4" w:space="0" w:color="auto"/>
            </w:tcBorders>
            <w:shd w:val="clear" w:color="000000" w:fill="FFFFFF"/>
            <w:noWrap/>
            <w:vAlign w:val="bottom"/>
          </w:tcPr>
          <w:p w14:paraId="2045A5CE"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2AF6839D"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4E23E537"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521D5E40"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4BB58CF9"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0EEE107D"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5DFB51B1"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D8D8D8"/>
            <w:noWrap/>
            <w:vAlign w:val="bottom"/>
          </w:tcPr>
          <w:p w14:paraId="0D79DBAE"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16ED56AA" w14:textId="77777777" w:rsidR="00103288" w:rsidRPr="00103288" w:rsidRDefault="00103288" w:rsidP="00103288">
            <w:pPr>
              <w:spacing w:after="0" w:line="240" w:lineRule="auto"/>
              <w:jc w:val="right"/>
              <w:rPr>
                <w:rFonts w:ascii="Arial" w:eastAsia="Times New Roman" w:hAnsi="Arial" w:cs="Arial"/>
                <w:color w:val="000000"/>
                <w:sz w:val="20"/>
                <w:szCs w:val="20"/>
              </w:rPr>
            </w:pPr>
          </w:p>
        </w:tc>
        <w:tc>
          <w:tcPr>
            <w:tcW w:w="636" w:type="dxa"/>
            <w:tcBorders>
              <w:top w:val="nil"/>
              <w:left w:val="nil"/>
              <w:bottom w:val="nil"/>
              <w:right w:val="single" w:sz="4" w:space="0" w:color="auto"/>
            </w:tcBorders>
            <w:shd w:val="clear" w:color="000000" w:fill="FFFFFF"/>
            <w:noWrap/>
            <w:vAlign w:val="bottom"/>
          </w:tcPr>
          <w:p w14:paraId="2A2270EE" w14:textId="77777777" w:rsidR="00103288" w:rsidRPr="00103288" w:rsidRDefault="00103288" w:rsidP="00103288">
            <w:pPr>
              <w:spacing w:after="0" w:line="240" w:lineRule="auto"/>
              <w:jc w:val="right"/>
              <w:rPr>
                <w:rFonts w:ascii="Arial" w:eastAsia="Times New Roman" w:hAnsi="Arial" w:cs="Arial"/>
                <w:color w:val="000000"/>
                <w:sz w:val="20"/>
                <w:szCs w:val="20"/>
              </w:rPr>
            </w:pPr>
          </w:p>
        </w:tc>
      </w:tr>
    </w:tbl>
    <w:p w14:paraId="3EB17AAD" w14:textId="77777777" w:rsidR="00103288" w:rsidRDefault="00103288" w:rsidP="00521EF3"/>
    <w:p w14:paraId="39BC032F" w14:textId="77777777" w:rsidR="004224FF" w:rsidRDefault="004224FF" w:rsidP="00521EF3"/>
    <w:p w14:paraId="7CD2EEB9" w14:textId="77777777" w:rsidR="004224FF" w:rsidRDefault="004224FF" w:rsidP="00521EF3"/>
    <w:p w14:paraId="431D2871" w14:textId="77777777" w:rsidR="004224FF" w:rsidRDefault="004224FF" w:rsidP="00521EF3">
      <w:r>
        <w:t>Second criteria Valuation</w:t>
      </w:r>
    </w:p>
    <w:p w14:paraId="50A54CFE" w14:textId="77777777" w:rsidR="004224FF" w:rsidRDefault="004224FF" w:rsidP="00521EF3"/>
    <w:p w14:paraId="70879339" w14:textId="77777777" w:rsidR="004224FF" w:rsidRDefault="004224FF" w:rsidP="00521EF3">
      <w:r>
        <w:rPr>
          <w:noProof/>
        </w:rPr>
        <w:drawing>
          <wp:inline distT="0" distB="0" distL="0" distR="0" wp14:anchorId="69A9D6D1" wp14:editId="33A2FC59">
            <wp:extent cx="5943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6.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tbl>
      <w:tblPr>
        <w:tblW w:w="9067" w:type="dxa"/>
        <w:tblCellMar>
          <w:left w:w="0" w:type="dxa"/>
          <w:right w:w="0" w:type="dxa"/>
        </w:tblCellMar>
        <w:tblLook w:val="04A0" w:firstRow="1" w:lastRow="0" w:firstColumn="1" w:lastColumn="0" w:noHBand="0" w:noVBand="1"/>
      </w:tblPr>
      <w:tblGrid>
        <w:gridCol w:w="1668"/>
        <w:gridCol w:w="732"/>
        <w:gridCol w:w="732"/>
        <w:gridCol w:w="732"/>
        <w:gridCol w:w="732"/>
        <w:gridCol w:w="732"/>
        <w:gridCol w:w="732"/>
        <w:gridCol w:w="732"/>
        <w:gridCol w:w="732"/>
        <w:gridCol w:w="732"/>
        <w:gridCol w:w="732"/>
        <w:gridCol w:w="367"/>
      </w:tblGrid>
      <w:tr w:rsidR="004224FF" w14:paraId="3E130D68" w14:textId="77777777" w:rsidTr="004224FF">
        <w:trPr>
          <w:trHeight w:val="278"/>
        </w:trPr>
        <w:tc>
          <w:tcPr>
            <w:tcW w:w="1967" w:type="dxa"/>
            <w:tcBorders>
              <w:top w:val="single" w:sz="4" w:space="0" w:color="auto"/>
              <w:left w:val="single" w:sz="4" w:space="0" w:color="auto"/>
              <w:bottom w:val="nil"/>
              <w:right w:val="single" w:sz="4" w:space="0" w:color="auto"/>
            </w:tcBorders>
            <w:shd w:val="clear" w:color="000000" w:fill="4F81BD"/>
            <w:noWrap/>
            <w:tcMar>
              <w:top w:w="15" w:type="dxa"/>
              <w:left w:w="15" w:type="dxa"/>
              <w:bottom w:w="0" w:type="dxa"/>
              <w:right w:w="15" w:type="dxa"/>
            </w:tcMar>
            <w:vAlign w:val="bottom"/>
            <w:hideMark/>
          </w:tcPr>
          <w:p w14:paraId="1C27E194" w14:textId="77777777" w:rsidR="004224FF" w:rsidRDefault="004224FF">
            <w:pPr>
              <w:rPr>
                <w:rFonts w:ascii="Arial" w:hAnsi="Arial" w:cs="Arial"/>
                <w:b/>
                <w:bCs/>
                <w:color w:val="FFFFFF"/>
                <w:sz w:val="20"/>
                <w:szCs w:val="20"/>
              </w:rPr>
            </w:pPr>
            <w:r>
              <w:rPr>
                <w:rFonts w:ascii="Arial" w:hAnsi="Arial" w:cs="Arial"/>
                <w:b/>
                <w:bCs/>
                <w:color w:val="FFFFFF"/>
                <w:sz w:val="20"/>
                <w:szCs w:val="20"/>
              </w:rPr>
              <w:t>In Millions of USD except Per Share</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4105A596"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2015</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10AE3586"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2016</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06481AD8"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2017</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173A76AF"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2018</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38E7E37A"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2019</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330E993C"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2020</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52196B70"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2021</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343B7CF5"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Last 12M</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6935919A"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2022 Est</w:t>
            </w:r>
          </w:p>
        </w:tc>
        <w:tc>
          <w:tcPr>
            <w:tcW w:w="659" w:type="dxa"/>
            <w:tcBorders>
              <w:top w:val="single" w:sz="4" w:space="0" w:color="auto"/>
              <w:left w:val="nil"/>
              <w:bottom w:val="nil"/>
              <w:right w:val="single" w:sz="4" w:space="0" w:color="auto"/>
            </w:tcBorders>
            <w:shd w:val="clear" w:color="000000" w:fill="4F81BD"/>
            <w:noWrap/>
            <w:tcMar>
              <w:top w:w="15" w:type="dxa"/>
              <w:left w:w="15" w:type="dxa"/>
              <w:bottom w:w="0" w:type="dxa"/>
              <w:right w:w="15" w:type="dxa"/>
            </w:tcMar>
            <w:vAlign w:val="bottom"/>
            <w:hideMark/>
          </w:tcPr>
          <w:p w14:paraId="471FAF8A"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FY 2023 Est</w:t>
            </w:r>
          </w:p>
        </w:tc>
        <w:tc>
          <w:tcPr>
            <w:tcW w:w="510" w:type="dxa"/>
            <w:tcBorders>
              <w:top w:val="nil"/>
              <w:left w:val="nil"/>
              <w:bottom w:val="nil"/>
              <w:right w:val="nil"/>
            </w:tcBorders>
            <w:shd w:val="clear" w:color="auto" w:fill="auto"/>
            <w:noWrap/>
            <w:tcMar>
              <w:top w:w="15" w:type="dxa"/>
              <w:left w:w="15" w:type="dxa"/>
              <w:bottom w:w="0" w:type="dxa"/>
              <w:right w:w="15" w:type="dxa"/>
            </w:tcMar>
            <w:vAlign w:val="bottom"/>
            <w:hideMark/>
          </w:tcPr>
          <w:p w14:paraId="259E1EDF" w14:textId="77777777" w:rsidR="004224FF" w:rsidRDefault="004224FF">
            <w:pPr>
              <w:jc w:val="right"/>
              <w:rPr>
                <w:rFonts w:ascii="Arial" w:hAnsi="Arial" w:cs="Arial"/>
                <w:b/>
                <w:bCs/>
                <w:color w:val="FFFFFF"/>
                <w:sz w:val="20"/>
                <w:szCs w:val="20"/>
              </w:rPr>
            </w:pPr>
          </w:p>
        </w:tc>
      </w:tr>
      <w:tr w:rsidR="004224FF" w14:paraId="0B4E0B77" w14:textId="77777777" w:rsidTr="004224FF">
        <w:trPr>
          <w:trHeight w:val="278"/>
        </w:trPr>
        <w:tc>
          <w:tcPr>
            <w:tcW w:w="0" w:type="auto"/>
            <w:tcBorders>
              <w:top w:val="nil"/>
              <w:left w:val="single" w:sz="4" w:space="0" w:color="auto"/>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7BF611B0" w14:textId="77777777" w:rsidR="004224FF" w:rsidRDefault="004224FF">
            <w:pPr>
              <w:rPr>
                <w:rFonts w:ascii="Arial" w:hAnsi="Arial" w:cs="Arial"/>
                <w:b/>
                <w:bCs/>
                <w:color w:val="FFFFFF"/>
                <w:sz w:val="20"/>
                <w:szCs w:val="20"/>
              </w:rPr>
            </w:pPr>
            <w:r>
              <w:rPr>
                <w:rFonts w:ascii="Arial" w:hAnsi="Arial" w:cs="Arial"/>
                <w:b/>
                <w:bCs/>
                <w:color w:val="FFFFFF"/>
                <w:sz w:val="20"/>
                <w:szCs w:val="20"/>
              </w:rPr>
              <w:t>12 Months Ending</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2A119502"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12/31/2015</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7F8E422B"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12/31/2016</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0F8D60AA"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12/31/2017</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3DC202BE"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12/31/2018</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56F01A93"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12/31/2019</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5438544A"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12/31/2020</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10068163"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12/31/2021</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649E7905"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06/30/2022</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2E95AEA7"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12/31/2022</w:t>
            </w:r>
          </w:p>
        </w:tc>
        <w:tc>
          <w:tcPr>
            <w:tcW w:w="0" w:type="auto"/>
            <w:tcBorders>
              <w:top w:val="nil"/>
              <w:left w:val="nil"/>
              <w:bottom w:val="single" w:sz="4" w:space="0" w:color="auto"/>
              <w:right w:val="single" w:sz="4" w:space="0" w:color="auto"/>
            </w:tcBorders>
            <w:shd w:val="clear" w:color="000000" w:fill="4F81BD"/>
            <w:noWrap/>
            <w:tcMar>
              <w:top w:w="15" w:type="dxa"/>
              <w:left w:w="15" w:type="dxa"/>
              <w:bottom w:w="0" w:type="dxa"/>
              <w:right w:w="15" w:type="dxa"/>
            </w:tcMar>
            <w:vAlign w:val="bottom"/>
            <w:hideMark/>
          </w:tcPr>
          <w:p w14:paraId="3F59FD7B" w14:textId="77777777" w:rsidR="004224FF" w:rsidRDefault="004224FF">
            <w:pPr>
              <w:jc w:val="right"/>
              <w:rPr>
                <w:rFonts w:ascii="Arial" w:hAnsi="Arial" w:cs="Arial"/>
                <w:b/>
                <w:bCs/>
                <w:color w:val="FFFFFF"/>
                <w:sz w:val="20"/>
                <w:szCs w:val="20"/>
              </w:rPr>
            </w:pPr>
            <w:r>
              <w:rPr>
                <w:rFonts w:ascii="Arial" w:hAnsi="Arial" w:cs="Arial"/>
                <w:b/>
                <w:bCs/>
                <w:color w:val="FFFFFF"/>
                <w:sz w:val="20"/>
                <w:szCs w:val="20"/>
              </w:rPr>
              <w:t>12/31/2023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5E3617" w14:textId="77777777" w:rsidR="004224FF" w:rsidRDefault="004224FF">
            <w:pPr>
              <w:jc w:val="right"/>
              <w:rPr>
                <w:rFonts w:ascii="Arial" w:hAnsi="Arial" w:cs="Arial"/>
                <w:b/>
                <w:bCs/>
                <w:color w:val="FFFFFF"/>
                <w:sz w:val="20"/>
                <w:szCs w:val="20"/>
              </w:rPr>
            </w:pPr>
          </w:p>
        </w:tc>
      </w:tr>
      <w:tr w:rsidR="004224FF" w14:paraId="52892DB2" w14:textId="77777777" w:rsidTr="004224FF">
        <w:trPr>
          <w:trHeight w:val="278"/>
        </w:trPr>
        <w:tc>
          <w:tcPr>
            <w:tcW w:w="0" w:type="auto"/>
            <w:tcBorders>
              <w:top w:val="nil"/>
              <w:left w:val="single" w:sz="4" w:space="0" w:color="auto"/>
              <w:bottom w:val="nil"/>
              <w:right w:val="nil"/>
            </w:tcBorders>
            <w:shd w:val="clear" w:color="000000" w:fill="FFFFFF"/>
            <w:noWrap/>
            <w:tcMar>
              <w:top w:w="15" w:type="dxa"/>
              <w:left w:w="15" w:type="dxa"/>
              <w:bottom w:w="0" w:type="dxa"/>
              <w:right w:w="15" w:type="dxa"/>
            </w:tcMar>
            <w:vAlign w:val="bottom"/>
            <w:hideMark/>
          </w:tcPr>
          <w:p w14:paraId="4C1A987D" w14:textId="77777777" w:rsidR="004224FF" w:rsidRDefault="004224FF">
            <w:pPr>
              <w:rPr>
                <w:rFonts w:ascii="Arial" w:hAnsi="Arial" w:cs="Arial"/>
                <w:color w:val="333333"/>
                <w:sz w:val="20"/>
                <w:szCs w:val="20"/>
              </w:rPr>
            </w:pPr>
            <w:proofErr w:type="spellStart"/>
            <w:r>
              <w:rPr>
                <w:rFonts w:ascii="Arial" w:hAnsi="Arial" w:cs="Arial"/>
                <w:color w:val="333333"/>
                <w:sz w:val="20"/>
                <w:szCs w:val="20"/>
              </w:rPr>
              <w:t>BEst</w:t>
            </w:r>
            <w:proofErr w:type="spellEnd"/>
            <w:r>
              <w:rPr>
                <w:rFonts w:ascii="Arial" w:hAnsi="Arial" w:cs="Arial"/>
                <w:color w:val="333333"/>
                <w:sz w:val="20"/>
                <w:szCs w:val="20"/>
              </w:rPr>
              <w:t xml:space="preserve"> PEG Ratio</w:t>
            </w:r>
          </w:p>
        </w:tc>
        <w:tc>
          <w:tcPr>
            <w:tcW w:w="0" w:type="auto"/>
            <w:tcBorders>
              <w:top w:val="nil"/>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3358DF75" w14:textId="77777777" w:rsidR="004224FF" w:rsidRDefault="004224FF">
            <w:pPr>
              <w:jc w:val="right"/>
              <w:rPr>
                <w:rFonts w:ascii="Arial" w:hAnsi="Arial" w:cs="Arial"/>
                <w:color w:val="000000"/>
                <w:sz w:val="20"/>
                <w:szCs w:val="20"/>
              </w:rPr>
            </w:pPr>
            <w:r>
              <w:rPr>
                <w:rFonts w:ascii="Arial" w:hAnsi="Arial" w:cs="Arial"/>
                <w:color w:val="000000"/>
                <w:sz w:val="20"/>
                <w:szCs w:val="20"/>
              </w:rPr>
              <w:t>13.80</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7381627E"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5AC778E"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4735F20"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59150E9D"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17DE7B86" w14:textId="77777777" w:rsidR="004224FF" w:rsidRDefault="004224FF">
            <w:pPr>
              <w:jc w:val="right"/>
              <w:rPr>
                <w:rFonts w:ascii="Arial" w:hAnsi="Arial" w:cs="Arial"/>
                <w:color w:val="000000"/>
                <w:sz w:val="20"/>
                <w:szCs w:val="20"/>
              </w:rPr>
            </w:pPr>
            <w:r>
              <w:rPr>
                <w:rFonts w:ascii="Arial" w:hAnsi="Arial" w:cs="Arial"/>
                <w:color w:val="000000"/>
                <w:sz w:val="20"/>
                <w:szCs w:val="20"/>
              </w:rPr>
              <w:t>8.72</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D357907" w14:textId="77777777" w:rsidR="004224FF" w:rsidRDefault="004224FF">
            <w:pPr>
              <w:jc w:val="right"/>
              <w:rPr>
                <w:rFonts w:ascii="Arial" w:hAnsi="Arial" w:cs="Arial"/>
                <w:color w:val="000000"/>
                <w:sz w:val="20"/>
                <w:szCs w:val="20"/>
              </w:rPr>
            </w:pPr>
            <w:r>
              <w:rPr>
                <w:rFonts w:ascii="Arial" w:hAnsi="Arial" w:cs="Arial"/>
                <w:color w:val="000000"/>
                <w:sz w:val="20"/>
                <w:szCs w:val="20"/>
              </w:rPr>
              <w:t>3.78</w:t>
            </w:r>
          </w:p>
        </w:tc>
        <w:tc>
          <w:tcPr>
            <w:tcW w:w="0" w:type="auto"/>
            <w:tcBorders>
              <w:top w:val="nil"/>
              <w:left w:val="nil"/>
              <w:bottom w:val="nil"/>
              <w:right w:val="single" w:sz="4" w:space="0" w:color="auto"/>
            </w:tcBorders>
            <w:shd w:val="clear" w:color="000000" w:fill="D8D8D8"/>
            <w:noWrap/>
            <w:tcMar>
              <w:top w:w="15" w:type="dxa"/>
              <w:left w:w="15" w:type="dxa"/>
              <w:bottom w:w="0" w:type="dxa"/>
              <w:right w:w="15" w:type="dxa"/>
            </w:tcMar>
            <w:vAlign w:val="bottom"/>
            <w:hideMark/>
          </w:tcPr>
          <w:p w14:paraId="1770E7F9" w14:textId="77777777" w:rsidR="004224FF" w:rsidRDefault="004224FF">
            <w:pPr>
              <w:jc w:val="right"/>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617FFA8C" w14:textId="77777777" w:rsidR="004224FF" w:rsidRDefault="004224FF">
            <w:pPr>
              <w:jc w:val="right"/>
              <w:rPr>
                <w:rFonts w:ascii="Arial" w:hAnsi="Arial" w:cs="Arial"/>
                <w:color w:val="000000"/>
                <w:sz w:val="20"/>
                <w:szCs w:val="20"/>
              </w:rPr>
            </w:pPr>
            <w:r>
              <w:rPr>
                <w:rFonts w:ascii="Arial" w:hAnsi="Arial" w:cs="Arial"/>
                <w:color w:val="000000"/>
                <w:sz w:val="20"/>
                <w:szCs w:val="20"/>
              </w:rPr>
              <w:t>1.97</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5BBA474" w14:textId="77777777" w:rsidR="004224FF" w:rsidRDefault="004224FF">
            <w:pPr>
              <w:jc w:val="right"/>
              <w:rPr>
                <w:rFonts w:ascii="Arial" w:hAnsi="Arial" w:cs="Arial"/>
                <w:color w:val="000000"/>
                <w:sz w:val="20"/>
                <w:szCs w:val="20"/>
              </w:rPr>
            </w:pPr>
            <w:r>
              <w:rPr>
                <w:rFonts w:ascii="Arial" w:hAnsi="Arial" w:cs="Arial"/>
                <w:color w:val="000000"/>
                <w:sz w:val="20"/>
                <w:szCs w:val="20"/>
              </w:rPr>
              <w:t>1.42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A0B695" w14:textId="77777777" w:rsidR="004224FF" w:rsidRDefault="004224FF">
            <w:pPr>
              <w:jc w:val="right"/>
              <w:rPr>
                <w:rFonts w:ascii="Arial" w:hAnsi="Arial" w:cs="Arial"/>
                <w:color w:val="000000"/>
                <w:sz w:val="20"/>
                <w:szCs w:val="20"/>
              </w:rPr>
            </w:pPr>
          </w:p>
        </w:tc>
      </w:tr>
      <w:tr w:rsidR="004224FF" w14:paraId="77E8C50C" w14:textId="77777777" w:rsidTr="004224FF">
        <w:trPr>
          <w:trHeight w:val="278"/>
        </w:trPr>
        <w:tc>
          <w:tcPr>
            <w:tcW w:w="0" w:type="auto"/>
            <w:tcBorders>
              <w:top w:val="nil"/>
              <w:left w:val="single" w:sz="4" w:space="0" w:color="auto"/>
              <w:bottom w:val="nil"/>
              <w:right w:val="nil"/>
            </w:tcBorders>
            <w:shd w:val="clear" w:color="000000" w:fill="FFFFFF"/>
            <w:noWrap/>
            <w:tcMar>
              <w:top w:w="15" w:type="dxa"/>
              <w:left w:w="15" w:type="dxa"/>
              <w:bottom w:w="0" w:type="dxa"/>
              <w:right w:w="15" w:type="dxa"/>
            </w:tcMar>
            <w:vAlign w:val="bottom"/>
            <w:hideMark/>
          </w:tcPr>
          <w:p w14:paraId="73AAEF03" w14:textId="77777777" w:rsidR="004224FF" w:rsidRDefault="004224FF">
            <w:pPr>
              <w:rPr>
                <w:rFonts w:ascii="Arial" w:hAnsi="Arial" w:cs="Arial"/>
                <w:color w:val="333333"/>
                <w:sz w:val="20"/>
                <w:szCs w:val="20"/>
              </w:rPr>
            </w:pPr>
            <w:r>
              <w:rPr>
                <w:rFonts w:ascii="Arial" w:hAnsi="Arial" w:cs="Arial"/>
                <w:color w:val="333333"/>
                <w:sz w:val="20"/>
                <w:szCs w:val="20"/>
              </w:rPr>
              <w:t>Price Earnings Ratio (P/E)</w:t>
            </w:r>
          </w:p>
        </w:tc>
        <w:tc>
          <w:tcPr>
            <w:tcW w:w="0" w:type="auto"/>
            <w:tcBorders>
              <w:top w:val="nil"/>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7FA02EC3"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3F2EE59A"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52B1B0B"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61B91D28"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15A06F29" w14:textId="77777777" w:rsidR="004224FF" w:rsidRDefault="004224FF">
            <w:pPr>
              <w:jc w:val="right"/>
              <w:rPr>
                <w:rFonts w:ascii="Arial" w:hAnsi="Arial" w:cs="Arial"/>
                <w:color w:val="000000"/>
                <w:sz w:val="20"/>
                <w:szCs w:val="20"/>
              </w:rPr>
            </w:pPr>
            <w:r>
              <w:rPr>
                <w:rFonts w:ascii="Arial" w:hAnsi="Arial" w:cs="Arial"/>
                <w:color w:val="000000"/>
                <w:sz w:val="20"/>
                <w:szCs w:val="20"/>
              </w:rPr>
              <w:t>—</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6D53363" w14:textId="77777777" w:rsidR="004224FF" w:rsidRDefault="004224FF">
            <w:pPr>
              <w:jc w:val="right"/>
              <w:rPr>
                <w:rFonts w:ascii="Arial" w:hAnsi="Arial" w:cs="Arial"/>
                <w:color w:val="000000"/>
                <w:sz w:val="20"/>
                <w:szCs w:val="20"/>
              </w:rPr>
            </w:pPr>
            <w:r>
              <w:rPr>
                <w:rFonts w:ascii="Arial" w:hAnsi="Arial" w:cs="Arial"/>
                <w:color w:val="000000"/>
                <w:sz w:val="20"/>
                <w:szCs w:val="20"/>
              </w:rPr>
              <w:t>972.87</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7C213F58" w14:textId="77777777" w:rsidR="004224FF" w:rsidRDefault="004224FF">
            <w:pPr>
              <w:jc w:val="right"/>
              <w:rPr>
                <w:rFonts w:ascii="Arial" w:hAnsi="Arial" w:cs="Arial"/>
                <w:color w:val="000000"/>
                <w:sz w:val="20"/>
                <w:szCs w:val="20"/>
              </w:rPr>
            </w:pPr>
            <w:r>
              <w:rPr>
                <w:rFonts w:ascii="Arial" w:hAnsi="Arial" w:cs="Arial"/>
                <w:color w:val="000000"/>
                <w:sz w:val="20"/>
                <w:szCs w:val="20"/>
              </w:rPr>
              <w:t>217.35</w:t>
            </w:r>
          </w:p>
        </w:tc>
        <w:tc>
          <w:tcPr>
            <w:tcW w:w="0" w:type="auto"/>
            <w:tcBorders>
              <w:top w:val="nil"/>
              <w:left w:val="nil"/>
              <w:bottom w:val="nil"/>
              <w:right w:val="single" w:sz="4" w:space="0" w:color="auto"/>
            </w:tcBorders>
            <w:shd w:val="clear" w:color="000000" w:fill="D8D8D8"/>
            <w:noWrap/>
            <w:tcMar>
              <w:top w:w="15" w:type="dxa"/>
              <w:left w:w="15" w:type="dxa"/>
              <w:bottom w:w="0" w:type="dxa"/>
              <w:right w:w="15" w:type="dxa"/>
            </w:tcMar>
            <w:vAlign w:val="bottom"/>
            <w:hideMark/>
          </w:tcPr>
          <w:p w14:paraId="2287FFC4" w14:textId="77777777" w:rsidR="004224FF" w:rsidRDefault="004224FF">
            <w:pPr>
              <w:jc w:val="right"/>
              <w:rPr>
                <w:rFonts w:ascii="Arial" w:hAnsi="Arial" w:cs="Arial"/>
                <w:color w:val="000000"/>
                <w:sz w:val="20"/>
                <w:szCs w:val="20"/>
              </w:rPr>
            </w:pPr>
            <w:r>
              <w:rPr>
                <w:rFonts w:ascii="Arial" w:hAnsi="Arial" w:cs="Arial"/>
                <w:color w:val="000000"/>
                <w:sz w:val="20"/>
                <w:szCs w:val="20"/>
              </w:rPr>
              <w:t>106.44</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566BD227" w14:textId="77777777" w:rsidR="004224FF" w:rsidRDefault="004224FF">
            <w:pPr>
              <w:jc w:val="right"/>
              <w:rPr>
                <w:rFonts w:ascii="Arial" w:hAnsi="Arial" w:cs="Arial"/>
                <w:color w:val="000000"/>
                <w:sz w:val="20"/>
                <w:szCs w:val="20"/>
              </w:rPr>
            </w:pPr>
            <w:r>
              <w:rPr>
                <w:rFonts w:ascii="Arial" w:hAnsi="Arial" w:cs="Arial"/>
                <w:color w:val="000000"/>
                <w:sz w:val="20"/>
                <w:szCs w:val="20"/>
              </w:rPr>
              <w:t>72.13</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169F4BE" w14:textId="77777777" w:rsidR="004224FF" w:rsidRDefault="004224FF">
            <w:pPr>
              <w:jc w:val="right"/>
              <w:rPr>
                <w:rFonts w:ascii="Arial" w:hAnsi="Arial" w:cs="Arial"/>
                <w:color w:val="000000"/>
                <w:sz w:val="20"/>
                <w:szCs w:val="20"/>
              </w:rPr>
            </w:pPr>
            <w:r>
              <w:rPr>
                <w:rFonts w:ascii="Arial" w:hAnsi="Arial" w:cs="Arial"/>
                <w:color w:val="000000"/>
                <w:sz w:val="20"/>
                <w:szCs w:val="20"/>
              </w:rPr>
              <w:t>52.10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ED6F1" w14:textId="77777777" w:rsidR="004224FF" w:rsidRDefault="004224FF">
            <w:pPr>
              <w:jc w:val="right"/>
              <w:rPr>
                <w:rFonts w:ascii="Arial" w:hAnsi="Arial" w:cs="Arial"/>
                <w:color w:val="000000"/>
                <w:sz w:val="20"/>
                <w:szCs w:val="20"/>
              </w:rPr>
            </w:pPr>
          </w:p>
        </w:tc>
      </w:tr>
      <w:tr w:rsidR="004224FF" w14:paraId="00318FBA" w14:textId="77777777" w:rsidTr="004224FF">
        <w:trPr>
          <w:trHeight w:val="278"/>
        </w:trPr>
        <w:tc>
          <w:tcPr>
            <w:tcW w:w="0" w:type="auto"/>
            <w:tcBorders>
              <w:top w:val="nil"/>
              <w:left w:val="single" w:sz="4" w:space="0" w:color="auto"/>
              <w:bottom w:val="nil"/>
              <w:right w:val="nil"/>
            </w:tcBorders>
            <w:shd w:val="clear" w:color="000000" w:fill="FFFFFF"/>
            <w:noWrap/>
            <w:tcMar>
              <w:top w:w="15" w:type="dxa"/>
              <w:left w:w="15" w:type="dxa"/>
              <w:bottom w:w="0" w:type="dxa"/>
              <w:right w:w="15" w:type="dxa"/>
            </w:tcMar>
            <w:vAlign w:val="bottom"/>
            <w:hideMark/>
          </w:tcPr>
          <w:p w14:paraId="37DC5F70" w14:textId="77777777" w:rsidR="004224FF" w:rsidRDefault="004224FF">
            <w:pPr>
              <w:rPr>
                <w:rFonts w:ascii="Arial" w:hAnsi="Arial" w:cs="Arial"/>
                <w:color w:val="333333"/>
                <w:sz w:val="20"/>
                <w:szCs w:val="20"/>
              </w:rPr>
            </w:pPr>
            <w:r>
              <w:rPr>
                <w:rFonts w:ascii="Arial" w:hAnsi="Arial" w:cs="Arial"/>
                <w:color w:val="333333"/>
                <w:sz w:val="20"/>
                <w:szCs w:val="20"/>
              </w:rPr>
              <w:t>Price to Book Ratio</w:t>
            </w:r>
          </w:p>
        </w:tc>
        <w:tc>
          <w:tcPr>
            <w:tcW w:w="0" w:type="auto"/>
            <w:tcBorders>
              <w:top w:val="nil"/>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1C460BC1" w14:textId="77777777" w:rsidR="004224FF" w:rsidRDefault="004224FF">
            <w:pPr>
              <w:jc w:val="right"/>
              <w:rPr>
                <w:rFonts w:ascii="Arial" w:hAnsi="Arial" w:cs="Arial"/>
                <w:color w:val="000000"/>
                <w:sz w:val="20"/>
                <w:szCs w:val="20"/>
              </w:rPr>
            </w:pPr>
            <w:r>
              <w:rPr>
                <w:rFonts w:ascii="Arial" w:hAnsi="Arial" w:cs="Arial"/>
                <w:color w:val="000000"/>
                <w:sz w:val="20"/>
                <w:szCs w:val="20"/>
              </w:rPr>
              <w:t>27.89</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63DAA34" w14:textId="77777777" w:rsidR="004224FF" w:rsidRDefault="004224FF">
            <w:pPr>
              <w:jc w:val="right"/>
              <w:rPr>
                <w:rFonts w:ascii="Arial" w:hAnsi="Arial" w:cs="Arial"/>
                <w:color w:val="000000"/>
                <w:sz w:val="20"/>
                <w:szCs w:val="20"/>
              </w:rPr>
            </w:pPr>
            <w:r>
              <w:rPr>
                <w:rFonts w:ascii="Arial" w:hAnsi="Arial" w:cs="Arial"/>
                <w:color w:val="000000"/>
                <w:sz w:val="20"/>
                <w:szCs w:val="20"/>
              </w:rPr>
              <w:t>7.25</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6B7647B" w14:textId="77777777" w:rsidR="004224FF" w:rsidRDefault="004224FF">
            <w:pPr>
              <w:jc w:val="right"/>
              <w:rPr>
                <w:rFonts w:ascii="Arial" w:hAnsi="Arial" w:cs="Arial"/>
                <w:color w:val="000000"/>
                <w:sz w:val="20"/>
                <w:szCs w:val="20"/>
              </w:rPr>
            </w:pPr>
            <w:r>
              <w:rPr>
                <w:rFonts w:ascii="Arial" w:hAnsi="Arial" w:cs="Arial"/>
                <w:color w:val="000000"/>
                <w:sz w:val="20"/>
                <w:szCs w:val="20"/>
              </w:rPr>
              <w:t>12.40</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496A97D" w14:textId="77777777" w:rsidR="004224FF" w:rsidRDefault="004224FF">
            <w:pPr>
              <w:jc w:val="right"/>
              <w:rPr>
                <w:rFonts w:ascii="Arial" w:hAnsi="Arial" w:cs="Arial"/>
                <w:color w:val="000000"/>
                <w:sz w:val="20"/>
                <w:szCs w:val="20"/>
              </w:rPr>
            </w:pPr>
            <w:r>
              <w:rPr>
                <w:rFonts w:ascii="Arial" w:hAnsi="Arial" w:cs="Arial"/>
                <w:color w:val="000000"/>
                <w:sz w:val="20"/>
                <w:szCs w:val="20"/>
              </w:rPr>
              <w:t>11.67</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22F0DBFB" w14:textId="77777777" w:rsidR="004224FF" w:rsidRDefault="004224FF">
            <w:pPr>
              <w:jc w:val="right"/>
              <w:rPr>
                <w:rFonts w:ascii="Arial" w:hAnsi="Arial" w:cs="Arial"/>
                <w:color w:val="000000"/>
                <w:sz w:val="20"/>
                <w:szCs w:val="20"/>
              </w:rPr>
            </w:pPr>
            <w:r>
              <w:rPr>
                <w:rFonts w:ascii="Arial" w:hAnsi="Arial" w:cs="Arial"/>
                <w:color w:val="000000"/>
                <w:sz w:val="20"/>
                <w:szCs w:val="20"/>
              </w:rPr>
              <w:t>11.44</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D33EF2C" w14:textId="77777777" w:rsidR="004224FF" w:rsidRDefault="004224FF">
            <w:pPr>
              <w:jc w:val="right"/>
              <w:rPr>
                <w:rFonts w:ascii="Arial" w:hAnsi="Arial" w:cs="Arial"/>
                <w:color w:val="000000"/>
                <w:sz w:val="20"/>
                <w:szCs w:val="20"/>
              </w:rPr>
            </w:pPr>
            <w:r>
              <w:rPr>
                <w:rFonts w:ascii="Arial" w:hAnsi="Arial" w:cs="Arial"/>
                <w:color w:val="000000"/>
                <w:sz w:val="20"/>
                <w:szCs w:val="20"/>
              </w:rPr>
              <w:t>30.48</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1C6B2D4C" w14:textId="77777777" w:rsidR="004224FF" w:rsidRDefault="004224FF">
            <w:pPr>
              <w:jc w:val="right"/>
              <w:rPr>
                <w:rFonts w:ascii="Arial" w:hAnsi="Arial" w:cs="Arial"/>
                <w:color w:val="000000"/>
                <w:sz w:val="20"/>
                <w:szCs w:val="20"/>
              </w:rPr>
            </w:pPr>
            <w:r>
              <w:rPr>
                <w:rFonts w:ascii="Arial" w:hAnsi="Arial" w:cs="Arial"/>
                <w:color w:val="000000"/>
                <w:sz w:val="20"/>
                <w:szCs w:val="20"/>
              </w:rPr>
              <w:t>36.16</w:t>
            </w:r>
          </w:p>
        </w:tc>
        <w:tc>
          <w:tcPr>
            <w:tcW w:w="0" w:type="auto"/>
            <w:tcBorders>
              <w:top w:val="nil"/>
              <w:left w:val="nil"/>
              <w:bottom w:val="nil"/>
              <w:right w:val="single" w:sz="4" w:space="0" w:color="auto"/>
            </w:tcBorders>
            <w:shd w:val="clear" w:color="000000" w:fill="D8D8D8"/>
            <w:noWrap/>
            <w:tcMar>
              <w:top w:w="15" w:type="dxa"/>
              <w:left w:w="15" w:type="dxa"/>
              <w:bottom w:w="0" w:type="dxa"/>
              <w:right w:w="15" w:type="dxa"/>
            </w:tcMar>
            <w:vAlign w:val="bottom"/>
            <w:hideMark/>
          </w:tcPr>
          <w:p w14:paraId="56B58CEE" w14:textId="77777777" w:rsidR="004224FF" w:rsidRDefault="004224FF">
            <w:pPr>
              <w:jc w:val="right"/>
              <w:rPr>
                <w:rFonts w:ascii="Arial" w:hAnsi="Arial" w:cs="Arial"/>
                <w:color w:val="000000"/>
                <w:sz w:val="20"/>
                <w:szCs w:val="20"/>
              </w:rPr>
            </w:pPr>
            <w:r>
              <w:rPr>
                <w:rFonts w:ascii="Arial" w:hAnsi="Arial" w:cs="Arial"/>
                <w:color w:val="000000"/>
                <w:sz w:val="20"/>
                <w:szCs w:val="20"/>
              </w:rPr>
              <w:t>25.49</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DEC7BE0" w14:textId="77777777" w:rsidR="004224FF" w:rsidRDefault="004224FF">
            <w:pPr>
              <w:jc w:val="right"/>
              <w:rPr>
                <w:rFonts w:ascii="Arial" w:hAnsi="Arial" w:cs="Arial"/>
                <w:color w:val="000000"/>
                <w:sz w:val="20"/>
                <w:szCs w:val="20"/>
              </w:rPr>
            </w:pPr>
            <w:r>
              <w:rPr>
                <w:rFonts w:ascii="Arial" w:hAnsi="Arial" w:cs="Arial"/>
                <w:color w:val="000000"/>
                <w:sz w:val="20"/>
                <w:szCs w:val="20"/>
              </w:rPr>
              <w:t>20.71</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4590C0D" w14:textId="77777777" w:rsidR="004224FF" w:rsidRDefault="004224FF">
            <w:pPr>
              <w:jc w:val="right"/>
              <w:rPr>
                <w:rFonts w:ascii="Arial" w:hAnsi="Arial" w:cs="Arial"/>
                <w:color w:val="000000"/>
                <w:sz w:val="20"/>
                <w:szCs w:val="20"/>
              </w:rPr>
            </w:pPr>
            <w:r>
              <w:rPr>
                <w:rFonts w:ascii="Arial" w:hAnsi="Arial" w:cs="Arial"/>
                <w:color w:val="000000"/>
                <w:sz w:val="20"/>
                <w:szCs w:val="20"/>
              </w:rPr>
              <w:t>15.37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303A19" w14:textId="77777777" w:rsidR="004224FF" w:rsidRDefault="004224FF">
            <w:pPr>
              <w:jc w:val="right"/>
              <w:rPr>
                <w:rFonts w:ascii="Arial" w:hAnsi="Arial" w:cs="Arial"/>
                <w:color w:val="000000"/>
                <w:sz w:val="20"/>
                <w:szCs w:val="20"/>
              </w:rPr>
            </w:pPr>
          </w:p>
        </w:tc>
      </w:tr>
      <w:tr w:rsidR="004224FF" w14:paraId="69B60A25" w14:textId="77777777" w:rsidTr="004224FF">
        <w:trPr>
          <w:trHeight w:val="278"/>
        </w:trPr>
        <w:tc>
          <w:tcPr>
            <w:tcW w:w="0" w:type="auto"/>
            <w:tcBorders>
              <w:top w:val="nil"/>
              <w:left w:val="single" w:sz="4" w:space="0" w:color="auto"/>
              <w:bottom w:val="nil"/>
              <w:right w:val="nil"/>
            </w:tcBorders>
            <w:shd w:val="clear" w:color="000000" w:fill="FFFFFF"/>
            <w:noWrap/>
            <w:tcMar>
              <w:top w:w="15" w:type="dxa"/>
              <w:left w:w="15" w:type="dxa"/>
              <w:bottom w:w="0" w:type="dxa"/>
              <w:right w:w="15" w:type="dxa"/>
            </w:tcMar>
            <w:vAlign w:val="bottom"/>
            <w:hideMark/>
          </w:tcPr>
          <w:p w14:paraId="0863805B" w14:textId="77777777" w:rsidR="004224FF" w:rsidRDefault="004224FF">
            <w:pPr>
              <w:rPr>
                <w:rFonts w:ascii="Arial" w:hAnsi="Arial" w:cs="Arial"/>
                <w:color w:val="333333"/>
                <w:sz w:val="20"/>
                <w:szCs w:val="20"/>
              </w:rPr>
            </w:pPr>
            <w:r>
              <w:rPr>
                <w:rFonts w:ascii="Arial" w:hAnsi="Arial" w:cs="Arial"/>
                <w:color w:val="333333"/>
                <w:sz w:val="20"/>
                <w:szCs w:val="20"/>
              </w:rPr>
              <w:t>Enterprise Value/EBITDA</w:t>
            </w:r>
          </w:p>
        </w:tc>
        <w:tc>
          <w:tcPr>
            <w:tcW w:w="0" w:type="auto"/>
            <w:tcBorders>
              <w:top w:val="nil"/>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6C3FD5DC" w14:textId="77777777" w:rsidR="004224FF" w:rsidRDefault="004224FF">
            <w:pPr>
              <w:jc w:val="right"/>
              <w:rPr>
                <w:rFonts w:ascii="Arial" w:hAnsi="Arial" w:cs="Arial"/>
                <w:color w:val="000000"/>
                <w:sz w:val="20"/>
                <w:szCs w:val="20"/>
              </w:rPr>
            </w:pPr>
            <w:r>
              <w:rPr>
                <w:rFonts w:ascii="Arial" w:hAnsi="Arial" w:cs="Arial"/>
                <w:color w:val="000000"/>
                <w:sz w:val="20"/>
                <w:szCs w:val="20"/>
              </w:rPr>
              <w:t>702.02</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67FC46FB" w14:textId="77777777" w:rsidR="004224FF" w:rsidRDefault="004224FF">
            <w:pPr>
              <w:jc w:val="right"/>
              <w:rPr>
                <w:rFonts w:ascii="Arial" w:hAnsi="Arial" w:cs="Arial"/>
                <w:color w:val="000000"/>
                <w:sz w:val="20"/>
                <w:szCs w:val="20"/>
              </w:rPr>
            </w:pPr>
            <w:r>
              <w:rPr>
                <w:rFonts w:ascii="Arial" w:hAnsi="Arial" w:cs="Arial"/>
                <w:color w:val="000000"/>
                <w:sz w:val="20"/>
                <w:szCs w:val="20"/>
              </w:rPr>
              <w:t>140.13</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543BF5A8" w14:textId="77777777" w:rsidR="004224FF" w:rsidRDefault="004224FF">
            <w:pPr>
              <w:jc w:val="right"/>
              <w:rPr>
                <w:rFonts w:ascii="Arial" w:hAnsi="Arial" w:cs="Arial"/>
                <w:color w:val="000000"/>
                <w:sz w:val="20"/>
                <w:szCs w:val="20"/>
              </w:rPr>
            </w:pPr>
            <w:r>
              <w:rPr>
                <w:rFonts w:ascii="Arial" w:hAnsi="Arial" w:cs="Arial"/>
                <w:color w:val="000000"/>
                <w:sz w:val="20"/>
                <w:szCs w:val="20"/>
              </w:rPr>
              <w:t>15,488.82</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1B4C0C25" w14:textId="77777777" w:rsidR="004224FF" w:rsidRDefault="004224FF">
            <w:pPr>
              <w:jc w:val="right"/>
              <w:rPr>
                <w:rFonts w:ascii="Arial" w:hAnsi="Arial" w:cs="Arial"/>
                <w:color w:val="000000"/>
                <w:sz w:val="20"/>
                <w:szCs w:val="20"/>
              </w:rPr>
            </w:pPr>
            <w:r>
              <w:rPr>
                <w:rFonts w:ascii="Arial" w:hAnsi="Arial" w:cs="Arial"/>
                <w:color w:val="000000"/>
                <w:sz w:val="20"/>
                <w:szCs w:val="20"/>
              </w:rPr>
              <w:t>44.17</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F7AA050" w14:textId="77777777" w:rsidR="004224FF" w:rsidRDefault="004224FF">
            <w:pPr>
              <w:jc w:val="right"/>
              <w:rPr>
                <w:rFonts w:ascii="Arial" w:hAnsi="Arial" w:cs="Arial"/>
                <w:color w:val="000000"/>
                <w:sz w:val="20"/>
                <w:szCs w:val="20"/>
              </w:rPr>
            </w:pPr>
            <w:r>
              <w:rPr>
                <w:rFonts w:ascii="Arial" w:hAnsi="Arial" w:cs="Arial"/>
                <w:color w:val="000000"/>
                <w:sz w:val="20"/>
                <w:szCs w:val="20"/>
              </w:rPr>
              <w:t>33.94</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2E64F1BC" w14:textId="77777777" w:rsidR="004224FF" w:rsidRDefault="004224FF">
            <w:pPr>
              <w:jc w:val="right"/>
              <w:rPr>
                <w:rFonts w:ascii="Arial" w:hAnsi="Arial" w:cs="Arial"/>
                <w:color w:val="000000"/>
                <w:sz w:val="20"/>
                <w:szCs w:val="20"/>
              </w:rPr>
            </w:pPr>
            <w:r>
              <w:rPr>
                <w:rFonts w:ascii="Arial" w:hAnsi="Arial" w:cs="Arial"/>
                <w:color w:val="000000"/>
                <w:sz w:val="20"/>
                <w:szCs w:val="20"/>
              </w:rPr>
              <w:t>139.34</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719A7683" w14:textId="77777777" w:rsidR="004224FF" w:rsidRDefault="004224FF">
            <w:pPr>
              <w:jc w:val="right"/>
              <w:rPr>
                <w:rFonts w:ascii="Arial" w:hAnsi="Arial" w:cs="Arial"/>
                <w:color w:val="000000"/>
                <w:sz w:val="20"/>
                <w:szCs w:val="20"/>
              </w:rPr>
            </w:pPr>
            <w:r>
              <w:rPr>
                <w:rFonts w:ascii="Arial" w:hAnsi="Arial" w:cs="Arial"/>
                <w:color w:val="000000"/>
                <w:sz w:val="20"/>
                <w:szCs w:val="20"/>
              </w:rPr>
              <w:t>104.75</w:t>
            </w:r>
          </w:p>
        </w:tc>
        <w:tc>
          <w:tcPr>
            <w:tcW w:w="0" w:type="auto"/>
            <w:tcBorders>
              <w:top w:val="nil"/>
              <w:left w:val="nil"/>
              <w:bottom w:val="nil"/>
              <w:right w:val="single" w:sz="4" w:space="0" w:color="auto"/>
            </w:tcBorders>
            <w:shd w:val="clear" w:color="000000" w:fill="D8D8D8"/>
            <w:noWrap/>
            <w:tcMar>
              <w:top w:w="15" w:type="dxa"/>
              <w:left w:w="15" w:type="dxa"/>
              <w:bottom w:w="0" w:type="dxa"/>
              <w:right w:w="15" w:type="dxa"/>
            </w:tcMar>
            <w:vAlign w:val="bottom"/>
            <w:hideMark/>
          </w:tcPr>
          <w:p w14:paraId="4DC168CA" w14:textId="77777777" w:rsidR="004224FF" w:rsidRDefault="004224FF">
            <w:pPr>
              <w:jc w:val="right"/>
              <w:rPr>
                <w:rFonts w:ascii="Arial" w:hAnsi="Arial" w:cs="Arial"/>
                <w:color w:val="000000"/>
                <w:sz w:val="20"/>
                <w:szCs w:val="20"/>
              </w:rPr>
            </w:pPr>
            <w:r>
              <w:rPr>
                <w:rFonts w:ascii="Arial" w:hAnsi="Arial" w:cs="Arial"/>
                <w:color w:val="000000"/>
                <w:sz w:val="20"/>
                <w:szCs w:val="20"/>
              </w:rPr>
              <w:t>65.74</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0FDDE820" w14:textId="77777777" w:rsidR="004224FF" w:rsidRDefault="004224FF">
            <w:pPr>
              <w:jc w:val="right"/>
              <w:rPr>
                <w:rFonts w:ascii="Arial" w:hAnsi="Arial" w:cs="Arial"/>
                <w:color w:val="000000"/>
                <w:sz w:val="20"/>
                <w:szCs w:val="20"/>
              </w:rPr>
            </w:pPr>
            <w:r>
              <w:rPr>
                <w:rFonts w:ascii="Arial" w:hAnsi="Arial" w:cs="Arial"/>
                <w:color w:val="000000"/>
                <w:sz w:val="20"/>
                <w:szCs w:val="20"/>
              </w:rPr>
              <w:t>46.16</w:t>
            </w: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bottom"/>
            <w:hideMark/>
          </w:tcPr>
          <w:p w14:paraId="4F1EC5D4" w14:textId="77777777" w:rsidR="004224FF" w:rsidRDefault="004224FF">
            <w:pPr>
              <w:jc w:val="right"/>
              <w:rPr>
                <w:rFonts w:ascii="Arial" w:hAnsi="Arial" w:cs="Arial"/>
                <w:color w:val="000000"/>
                <w:sz w:val="20"/>
                <w:szCs w:val="20"/>
              </w:rPr>
            </w:pPr>
            <w:r>
              <w:rPr>
                <w:rFonts w:ascii="Arial" w:hAnsi="Arial" w:cs="Arial"/>
                <w:color w:val="000000"/>
                <w:sz w:val="20"/>
                <w:szCs w:val="20"/>
              </w:rPr>
              <w:t>31.94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82450" w14:textId="77777777" w:rsidR="004224FF" w:rsidRDefault="004224FF">
            <w:pPr>
              <w:jc w:val="right"/>
              <w:rPr>
                <w:rFonts w:ascii="Arial" w:hAnsi="Arial" w:cs="Arial"/>
                <w:color w:val="000000"/>
                <w:sz w:val="20"/>
                <w:szCs w:val="20"/>
              </w:rPr>
            </w:pPr>
          </w:p>
        </w:tc>
      </w:tr>
    </w:tbl>
    <w:p w14:paraId="07B01BAA" w14:textId="77777777" w:rsidR="004224FF" w:rsidRDefault="004224FF" w:rsidP="00521EF3"/>
    <w:p w14:paraId="0A2203A8" w14:textId="77777777" w:rsidR="004224FF" w:rsidRDefault="004224FF" w:rsidP="00521EF3"/>
    <w:p w14:paraId="55F2EEAA" w14:textId="77777777" w:rsidR="004224FF" w:rsidRDefault="004224FF" w:rsidP="00521EF3">
      <w:r>
        <w:t>Growth</w:t>
      </w:r>
    </w:p>
    <w:p w14:paraId="63BAD728" w14:textId="77777777" w:rsidR="004224FF" w:rsidRDefault="004224FF" w:rsidP="00521EF3"/>
    <w:sectPr w:rsidR="0042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87650"/>
    <w:multiLevelType w:val="multilevel"/>
    <w:tmpl w:val="3F7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301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F3"/>
    <w:rsid w:val="00103288"/>
    <w:rsid w:val="00175A16"/>
    <w:rsid w:val="002D75AA"/>
    <w:rsid w:val="003366C7"/>
    <w:rsid w:val="003F2F11"/>
    <w:rsid w:val="004224FF"/>
    <w:rsid w:val="004D691D"/>
    <w:rsid w:val="004E558B"/>
    <w:rsid w:val="00521EF3"/>
    <w:rsid w:val="00650F37"/>
    <w:rsid w:val="00753B80"/>
    <w:rsid w:val="00763AB3"/>
    <w:rsid w:val="007D643E"/>
    <w:rsid w:val="00882C07"/>
    <w:rsid w:val="008D5D83"/>
    <w:rsid w:val="00960D72"/>
    <w:rsid w:val="009F7CDF"/>
    <w:rsid w:val="00A525C7"/>
    <w:rsid w:val="00AD6141"/>
    <w:rsid w:val="00C55D2D"/>
    <w:rsid w:val="00C60000"/>
    <w:rsid w:val="00C730F1"/>
    <w:rsid w:val="00D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073B"/>
  <w15:chartTrackingRefBased/>
  <w15:docId w15:val="{13D78F0C-E53D-4139-903F-BF9451EE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66C7"/>
    <w:rPr>
      <w:b/>
      <w:bCs/>
    </w:rPr>
  </w:style>
  <w:style w:type="character" w:customStyle="1" w:styleId="Heading1Char">
    <w:name w:val="Heading 1 Char"/>
    <w:basedOn w:val="DefaultParagraphFont"/>
    <w:link w:val="Heading1"/>
    <w:uiPriority w:val="9"/>
    <w:rsid w:val="00AD61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1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61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75A16"/>
    <w:rPr>
      <w:color w:val="0563C1" w:themeColor="hyperlink"/>
      <w:u w:val="single"/>
    </w:rPr>
  </w:style>
  <w:style w:type="character" w:styleId="UnresolvedMention">
    <w:name w:val="Unresolved Mention"/>
    <w:basedOn w:val="DefaultParagraphFont"/>
    <w:uiPriority w:val="99"/>
    <w:semiHidden/>
    <w:unhideWhenUsed/>
    <w:rsid w:val="00175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00953">
      <w:bodyDiv w:val="1"/>
      <w:marLeft w:val="0"/>
      <w:marRight w:val="0"/>
      <w:marTop w:val="0"/>
      <w:marBottom w:val="0"/>
      <w:divBdr>
        <w:top w:val="none" w:sz="0" w:space="0" w:color="auto"/>
        <w:left w:val="none" w:sz="0" w:space="0" w:color="auto"/>
        <w:bottom w:val="none" w:sz="0" w:space="0" w:color="auto"/>
        <w:right w:val="none" w:sz="0" w:space="0" w:color="auto"/>
      </w:divBdr>
    </w:div>
    <w:div w:id="867987584">
      <w:bodyDiv w:val="1"/>
      <w:marLeft w:val="0"/>
      <w:marRight w:val="0"/>
      <w:marTop w:val="0"/>
      <w:marBottom w:val="0"/>
      <w:divBdr>
        <w:top w:val="none" w:sz="0" w:space="0" w:color="auto"/>
        <w:left w:val="none" w:sz="0" w:space="0" w:color="auto"/>
        <w:bottom w:val="none" w:sz="0" w:space="0" w:color="auto"/>
        <w:right w:val="none" w:sz="0" w:space="0" w:color="auto"/>
      </w:divBdr>
    </w:div>
    <w:div w:id="1063214848">
      <w:bodyDiv w:val="1"/>
      <w:marLeft w:val="0"/>
      <w:marRight w:val="0"/>
      <w:marTop w:val="0"/>
      <w:marBottom w:val="0"/>
      <w:divBdr>
        <w:top w:val="none" w:sz="0" w:space="0" w:color="auto"/>
        <w:left w:val="none" w:sz="0" w:space="0" w:color="auto"/>
        <w:bottom w:val="none" w:sz="0" w:space="0" w:color="auto"/>
        <w:right w:val="none" w:sz="0" w:space="0" w:color="auto"/>
      </w:divBdr>
    </w:div>
    <w:div w:id="1107197296">
      <w:bodyDiv w:val="1"/>
      <w:marLeft w:val="0"/>
      <w:marRight w:val="0"/>
      <w:marTop w:val="0"/>
      <w:marBottom w:val="0"/>
      <w:divBdr>
        <w:top w:val="none" w:sz="0" w:space="0" w:color="auto"/>
        <w:left w:val="none" w:sz="0" w:space="0" w:color="auto"/>
        <w:bottom w:val="none" w:sz="0" w:space="0" w:color="auto"/>
        <w:right w:val="none" w:sz="0" w:space="0" w:color="auto"/>
      </w:divBdr>
    </w:div>
    <w:div w:id="1120294378">
      <w:bodyDiv w:val="1"/>
      <w:marLeft w:val="0"/>
      <w:marRight w:val="0"/>
      <w:marTop w:val="0"/>
      <w:marBottom w:val="0"/>
      <w:divBdr>
        <w:top w:val="none" w:sz="0" w:space="0" w:color="auto"/>
        <w:left w:val="none" w:sz="0" w:space="0" w:color="auto"/>
        <w:bottom w:val="none" w:sz="0" w:space="0" w:color="auto"/>
        <w:right w:val="none" w:sz="0" w:space="0" w:color="auto"/>
      </w:divBdr>
    </w:div>
    <w:div w:id="20300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oprietarytechnology.asp" TargetMode="External"/><Relationship Id="rId3" Type="http://schemas.openxmlformats.org/officeDocument/2006/relationships/settings" Target="settings.xml"/><Relationship Id="rId7" Type="http://schemas.openxmlformats.org/officeDocument/2006/relationships/hyperlink" Target="https://www.investopedia.com/terms/p/paten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eturnonequity.asp" TargetMode="External"/><Relationship Id="rId11" Type="http://schemas.openxmlformats.org/officeDocument/2006/relationships/fontTable" Target="fontTable.xml"/><Relationship Id="rId5" Type="http://schemas.openxmlformats.org/officeDocument/2006/relationships/hyperlink" Target="https://www.investopedia.com/terms/v/valuation.asp"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Motwani</dc:creator>
  <cp:keywords/>
  <dc:description/>
  <cp:lastModifiedBy>payal motwani</cp:lastModifiedBy>
  <cp:revision>18</cp:revision>
  <dcterms:created xsi:type="dcterms:W3CDTF">2022-08-12T18:23:00Z</dcterms:created>
  <dcterms:modified xsi:type="dcterms:W3CDTF">2022-08-13T14:33:00Z</dcterms:modified>
</cp:coreProperties>
</file>