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28.png" ContentType="image/png"/>
  <Override PartName="/word/media/rId16.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ad947beb7f3592572667a526eac2c5c2000ce3a"/>
    <w:p>
      <w:pPr>
        <w:pStyle w:val="Heading1"/>
      </w:pPr>
      <w:r>
        <w:t xml:space="preserve">Less Is More: How Local Information Outperforms Global Knowledge in Maxwell’s Demon</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four regimes: no demon (control), a classical demon that compares each arrival’s speed to the global mean, an optimal (</w:t>
      </w:r>
      <w:r>
        <w:t xml:space="preserve">“god”</w:t>
      </w:r>
      <w:r>
        <w:t xml:space="preserve">) demon that uses the energy-based greedy-optimal threshold with perfect knowledge of both sides, and a local demon that polls only neighbors within radius</w:t>
      </w:r>
      <w:r>
        <w:t xml:space="preserve"> </w:t>
      </w:r>
      <m:oMath>
        <m:r>
          <m:t>r</m:t>
        </m:r>
      </m:oMath>
      <w:r>
        <w:t xml:space="preserve">. An automated sweep varies</w:t>
      </w:r>
      <w:r>
        <w:t xml:space="preserve"> </w:t>
      </w:r>
      <m:oMath>
        <m:r>
          <m:t>r</m:t>
        </m:r>
        <m:r>
          <m:rPr>
            <m:sty m:val="p"/>
          </m:rPr>
          <m:t>/</m:t>
        </m:r>
        <m:r>
          <m:t>L</m:t>
        </m:r>
      </m:oMath>
      <w:r>
        <w:t xml:space="preserve"> </w:t>
      </w:r>
      <w:r>
        <w:t xml:space="preserve">from 0.02 to 1.0 across ten independent seeds.</w:t>
      </w:r>
    </w:p>
    <w:p>
      <w:pPr>
        <w:pStyle w:val="BodyText"/>
      </w:pPr>
      <w:r>
        <w:rPr>
          <w:b/>
          <w:bCs/>
        </w:rPr>
        <w:t xml:space="preserve">Key findings (10 seeds, N = 2000, T = 1.0):</w:t>
      </w:r>
    </w:p>
    <w:p>
      <w:pPr>
        <w:pStyle w:val="Compact"/>
        <w:numPr>
          <w:ilvl w:val="0"/>
          <w:numId w:val="1001"/>
        </w:numPr>
      </w:pPr>
      <w:r>
        <w:rPr>
          <w:b/>
          <w:bCs/>
        </w:rPr>
        <w:t xml:space="preserve">Local information matches or exceeds both global demons.</w:t>
      </w:r>
      <w:r>
        <w:t xml:space="preserve"> </w:t>
      </w:r>
      <w:r>
        <w:t xml:space="preserve">At intermediate radii (</w:t>
      </w:r>
      <m:oMath>
        <m:r>
          <m:t>r</m:t>
        </m:r>
        <m:r>
          <m:rPr>
            <m:sty m:val="p"/>
          </m:rPr>
          <m:t>/</m:t>
        </m:r>
        <m:r>
          <m:t>L</m:t>
        </m:r>
        <m:r>
          <m:rPr>
            <m:sty m:val="p"/>
          </m:rPr>
          <m:t>≈</m:t>
        </m:r>
        <m:r>
          <m:t>0.16</m:t>
        </m:r>
      </m:oMath>
      <w:r>
        <w:t xml:space="preserve">–</w:t>
      </w:r>
      <m:oMath>
        <m:r>
          <m:t>0.30</m:t>
        </m:r>
      </m:oMath>
      <w:r>
        <w:t xml:space="preserve">) the local demon’s mean</w:t>
      </w:r>
      <w:r>
        <w:t xml:space="preserve"> </w:t>
      </w:r>
      <m:oMath>
        <m:r>
          <m:rPr>
            <m:sty m:val="p"/>
          </m:rPr>
          <m:t>Δ</m:t>
        </m:r>
        <m:r>
          <m:t>T</m:t>
        </m:r>
      </m:oMath>
      <w:r>
        <w:t xml:space="preserve"> </w:t>
      </w:r>
      <w:r>
        <w:t xml:space="preserve">ratio reaches 1.07 vs adaptive and 1.04 vs the optimal demon. The local demon’s spatially focused threshold tracks conditions at the door more effectively than any global statistic, which is diluted by distant particles.</w:t>
      </w:r>
    </w:p>
    <w:p>
      <w:pPr>
        <w:pStyle w:val="Compact"/>
        <w:numPr>
          <w:ilvl w:val="0"/>
          <w:numId w:val="1001"/>
        </w:numPr>
      </w:pPr>
      <w:r>
        <w:rPr>
          <w:b/>
          <w:bCs/>
        </w:rPr>
        <w:t xml:space="preserve">The greedy-optimal demon is only modestly better than adaptive.</w:t>
      </w:r>
      <w:r>
        <w:t xml:space="preserve"> </w:t>
      </w:r>
      <w:r>
        <w:t xml:space="preserve">The god demon achieves</w:t>
      </w:r>
      <w:r>
        <w:t xml:space="preserve"> </w:t>
      </w:r>
      <m:oMath>
        <m:r>
          <m:rPr>
            <m:sty m:val="p"/>
          </m:rPr>
          <m:t>Δ</m:t>
        </m:r>
        <m:r>
          <m:t>T</m:t>
        </m:r>
        <m:r>
          <m:rPr>
            <m:sty m:val="p"/>
          </m:rPr>
          <m:t>=</m:t>
        </m:r>
        <m:r>
          <m:t>0.46</m:t>
        </m:r>
        <m:r>
          <m:rPr>
            <m:sty m:val="p"/>
          </m:rPr>
          <m:t>±</m:t>
        </m:r>
        <m:r>
          <m:t>0.07</m:t>
        </m:r>
      </m:oMath>
      <w:r>
        <w:t xml:space="preserve"> </w:t>
      </w:r>
      <w:r>
        <w:t xml:space="preserve">vs adaptive’s</w:t>
      </w:r>
      <w:r>
        <w:t xml:space="preserve"> </w:t>
      </w:r>
      <m:oMath>
        <m:r>
          <m:t>0.44</m:t>
        </m:r>
        <m:r>
          <m:rPr>
            <m:sty m:val="p"/>
          </m:rPr>
          <m:t>±</m:t>
        </m:r>
        <m:r>
          <m:t>0.05</m:t>
        </m:r>
      </m:oMath>
      <w:r>
        <w:t xml:space="preserve"> </w:t>
      </w:r>
      <w:r>
        <w:t xml:space="preserve">— a 6% improvement — but with higher variance and slower convergence (226 vs 174 s). It underperforms adaptive in 3 of 10 seeds, suggesting the greedy-optimal strategy is sensitive to initial conditions.</w:t>
      </w:r>
    </w:p>
    <w:p>
      <w:pPr>
        <w:pStyle w:val="Compact"/>
        <w:numPr>
          <w:ilvl w:val="0"/>
          <w:numId w:val="1001"/>
        </w:numPr>
      </w:pPr>
      <w:r>
        <w:rPr>
          <w:b/>
          <w:bCs/>
        </w:rPr>
        <w:t xml:space="preserve">At</w:t>
      </w:r>
      <w:r>
        <w:rPr>
          <w:b/>
          <w:bCs/>
        </w:rPr>
        <w:t xml:space="preserve"> </w:t>
      </w:r>
      <m:oMath>
        <m:r>
          <m:t>r</m:t>
        </m:r>
        <m:r>
          <m:rPr>
            <m:sty m:val="p"/>
          </m:rPr>
          <m:t>/</m:t>
        </m:r>
        <m:r>
          <m:t>L</m:t>
        </m:r>
        <m:r>
          <m:rPr>
            <m:sty m:val="p"/>
          </m:rPr>
          <m:t>=</m:t>
        </m:r>
        <m:r>
          <m:t>1.0</m:t>
        </m:r>
      </m:oMath>
      <w:r>
        <w:rPr>
          <w:b/>
          <w:bCs/>
        </w:rPr>
        <w:t xml:space="preserve">, local and adaptive converge exactly.</w:t>
      </w:r>
      <w:r>
        <w:t xml:space="preserve"> </w:t>
      </w:r>
      <w:r>
        <w:t xml:space="preserve">When the local demon’s radius covers the entire side, it computes the same mean as the global demon and produces identical</w:t>
      </w:r>
      <w:r>
        <w:t xml:space="preserve"> </w:t>
      </w:r>
      <m:oMath>
        <m:r>
          <m:rPr>
            <m:sty m:val="p"/>
          </m:rPr>
          <m:t>Δ</m:t>
        </m:r>
        <m:r>
          <m:t>T</m:t>
        </m:r>
      </m:oMath>
      <w:r>
        <w:t xml:space="preserve"> </w:t>
      </w:r>
      <w:r>
        <w:t xml:space="preserve">(ratio = 1.000 across all 10 seeds). This confirms the simulation is correct and the outperformance at intermediate radii is real.</w:t>
      </w:r>
    </w:p>
    <w:p>
      <w:pPr>
        <w:pStyle w:val="Compact"/>
        <w:numPr>
          <w:ilvl w:val="0"/>
          <w:numId w:val="1001"/>
        </w:numPr>
      </w:pPr>
      <w:r>
        <w:rPr>
          <w:b/>
          <w:bCs/>
        </w:rPr>
        <w:t xml:space="preserve">Even tiny radii are effective.</w:t>
      </w:r>
      <w:r>
        <w:t xml:space="preserve"> </w:t>
      </w:r>
      <w:r>
        <w:t xml:space="preserve">Polling just 9% of the box width (</w:t>
      </w:r>
      <m:oMath>
        <m:r>
          <m:t>r</m:t>
        </m:r>
        <m:r>
          <m:rPr>
            <m:sty m:val="p"/>
          </m:rPr>
          <m:t>/</m:t>
        </m:r>
        <m:r>
          <m:t>L</m:t>
        </m:r>
        <m:r>
          <m:rPr>
            <m:sty m:val="p"/>
          </m:rPr>
          <m:t>=</m:t>
        </m:r>
        <m:r>
          <m:t>0.09</m:t>
        </m:r>
      </m:oMath>
      <w:r>
        <w:t xml:space="preserve">) recovers 93% of the adaptive demon’s sorting power. Even</w:t>
      </w:r>
      <w:r>
        <w:t xml:space="preserve"> </w:t>
      </w:r>
      <m:oMath>
        <m:r>
          <m:t>r</m:t>
        </m:r>
        <m:r>
          <m:rPr>
            <m:sty m:val="p"/>
          </m:rPr>
          <m:t>/</m:t>
        </m:r>
        <m:r>
          <m:t>L</m:t>
        </m:r>
        <m:r>
          <m:rPr>
            <m:sty m:val="p"/>
          </m:rPr>
          <m:t>=</m:t>
        </m:r>
        <m:r>
          <m:t>0.02</m:t>
        </m:r>
      </m:oMath>
      <w:r>
        <w:t xml:space="preserve"> </w:t>
      </w:r>
      <w:r>
        <w:t xml:space="preserve">already reaches 67%.</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confirming the expected thermodynamic relationship across all radii and seeds.</w:t>
      </w:r>
    </w:p>
    <w:p>
      <w:pPr>
        <w:pStyle w:val="FirstParagraph"/>
      </w:pPr>
      <w:r>
        <w:t xml:space="preserve">The second law is not violated — the demon pays for sorting with information, and Landauer’s principle ensures the global entropy budget balances. But the results reveal something stronger than the original hypothesis predicted: local information is not merely</w:t>
      </w:r>
      <w:r>
        <w:t xml:space="preserve"> </w:t>
      </w:r>
      <w:r>
        <w:t xml:space="preserve">“good enough”</w:t>
      </w:r>
      <w:r>
        <w:t xml:space="preserve"> </w:t>
      </w:r>
      <w:r>
        <w:t xml:space="preserve">— at intermediate radii it is</w:t>
      </w:r>
      <w:r>
        <w:t xml:space="preserve"> </w:t>
      </w:r>
      <w:r>
        <w:rPr>
          <w:i/>
          <w:iCs/>
        </w:rPr>
        <w:t xml:space="preserve">better</w:t>
      </w:r>
      <w:r>
        <w:t xml:space="preserve"> </w:t>
      </w:r>
      <w:r>
        <w:t xml:space="preserve">than any of the global demons, because it captures spatial correlations near the door that global statistics wash out. Even the theoretically optimal greedy rule cannot compensate for the loss of spatial structure inherent in a global view. In systems where a central coordinator is expensive or impractical, a local-information strategy is not just a cheaper substitute — it can be the superior approach.</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surprise is that the answer is not</w:t>
      </w:r>
      <w:r>
        <w:t xml:space="preserve"> </w:t>
      </w:r>
      <w:r>
        <w:t xml:space="preserve">“most of it”</w:t>
      </w:r>
      <w:r>
        <w:t xml:space="preserve"> </w:t>
      </w:r>
      <w:r>
        <w:t xml:space="preserve">but</w:t>
      </w:r>
      <w:r>
        <w:t xml:space="preserve"> </w:t>
      </w:r>
      <w:r>
        <w:t xml:space="preserve">“all of it, and sometimes more.”</w:t>
      </w:r>
    </w:p>
    <w:bookmarkEnd w:id="10"/>
    <w:bookmarkStart w:id="15"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Pass iff the crossing increases ΔT. Uses both sides’ temperatures and particle counts to compute the exact energy threshold (see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It asks the exact question:</w:t>
      </w:r>
      <w:r>
        <w:t xml:space="preserve"> </w:t>
      </w:r>
      <w:r>
        <w:rPr>
          <w:b/>
          <w:bCs/>
        </w:rPr>
        <w:t xml:space="preserve">will this crossing increase</w:t>
      </w:r>
      <w:r>
        <w:rPr>
          <w:b/>
          <w:bCs/>
        </w:rPr>
        <w:t xml:space="preserve"> </w:t>
      </w:r>
      <m:oMath>
        <m:r>
          <m:rPr>
            <m:sty m:val="p"/>
          </m:rPr>
          <m:t>Δ</m:t>
        </m:r>
        <m:r>
          <m:t>T</m:t>
        </m:r>
        <m:r>
          <m:rPr>
            <m:sty m:val="p"/>
          </m:rPr>
          <m:t>=</m:t>
        </m:r>
        <m:sSub>
          <m:e>
            <m:r>
              <m:t>T</m:t>
            </m:r>
          </m:e>
          <m:sub>
            <m:r>
              <m:t>R</m:t>
            </m:r>
          </m:sub>
        </m:sSub>
        <m:r>
          <m:rPr>
            <m:sty m:val="p"/>
          </m:rPr>
          <m:t>−</m:t>
        </m:r>
        <m:sSub>
          <m:e>
            <m:r>
              <m:t>T</m:t>
            </m:r>
          </m:e>
          <m:sub>
            <m:r>
              <m:t>L</m:t>
            </m:r>
          </m:sub>
        </m:sSub>
      </m:oMath>
      <w:r>
        <w:rPr>
          <w:b/>
          <w:bCs/>
        </w:rPr>
        <w:t xml:space="preserve">?</w:t>
      </w:r>
    </w:p>
    <w:p>
      <w:pPr>
        <w:pStyle w:val="BodyText"/>
      </w:pPr>
      <w:r>
        <w:rPr>
          <w:b/>
          <w:bCs/>
        </w:rPr>
        <w:t xml:space="preserve">Left → right (sending a fast particle to the hot side).</w:t>
      </w:r>
      <w:r>
        <w:t xml:space="preserve"> </w:t>
      </w:r>
      <w:r>
        <w:t xml:space="preserve">When particle</w:t>
      </w:r>
      <w:r>
        <w:t xml:space="preserve"> </w:t>
      </w:r>
      <m:oMath>
        <m:r>
          <m:t>i</m:t>
        </m:r>
      </m:oMath>
      <w:r>
        <w:t xml:space="preserve"> </w:t>
      </w:r>
      <w:r>
        <w:t xml:space="preserve">with speed</w:t>
      </w:r>
      <w:r>
        <w:t xml:space="preserve"> </w:t>
      </w:r>
      <m:oMath>
        <m:r>
          <m:t>s</m:t>
        </m:r>
      </m:oMath>
      <w:r>
        <w:t xml:space="preserve"> </w:t>
      </w:r>
      <w:r>
        <w:t xml:space="preserve">crosses from left to right, the new temperatures are:</w:t>
      </w:r>
    </w:p>
    <w:p>
      <w:pPr>
        <w:pStyle w:val="BodyText"/>
      </w:pPr>
      <m:oMathPara>
        <m:oMathParaPr>
          <m:jc m:val="center"/>
        </m:oMathParaPr>
        <m:oMath>
          <m:sSubSup>
            <m:e>
              <m:r>
                <m:t>T</m:t>
              </m:r>
            </m:e>
            <m:sub>
              <m:r>
                <m:t>L</m:t>
              </m:r>
            </m:sub>
            <m:sup>
              <m:r>
                <m:rPr>
                  <m:sty m:val="p"/>
                </m:rPr>
                <m:t>′</m:t>
              </m:r>
            </m:sup>
          </m:sSubSup>
          <m:r>
            <m:rPr>
              <m:sty m:val="p"/>
            </m:rPr>
            <m:t>=</m:t>
          </m:r>
          <m:f>
            <m:fPr>
              <m:type m:val="bar"/>
            </m:fPr>
            <m:num>
              <m:sSub>
                <m:e>
                  <m:r>
                    <m:t>N</m:t>
                  </m:r>
                </m:e>
                <m:sub>
                  <m:r>
                    <m:t>L</m:t>
                  </m:r>
                </m:sub>
              </m:sSub>
              <m:r>
                <m:rPr>
                  <m:sty m:val="p"/>
                </m:rPr>
                <m:t>⋅</m:t>
              </m:r>
              <m:sSub>
                <m:e>
                  <m:r>
                    <m:t>T</m:t>
                  </m:r>
                </m:e>
                <m:sub>
                  <m:r>
                    <m:t>L</m:t>
                  </m:r>
                </m:sub>
              </m:sSub>
              <m:r>
                <m:rPr>
                  <m:sty m:val="p"/>
                </m:rPr>
                <m:t>−</m:t>
              </m:r>
              <m:f>
                <m:fPr>
                  <m:type m:val="lin"/>
                </m:fPr>
                <m:num>
                  <m:r>
                    <m:t>1</m:t>
                  </m:r>
                </m:num>
                <m:den>
                  <m:r>
                    <m:t>2</m:t>
                  </m:r>
                </m:den>
              </m:f>
              <m:sSup>
                <m:e>
                  <m:r>
                    <m:t>s</m:t>
                  </m:r>
                </m:e>
                <m:sup>
                  <m:r>
                    <m:t>2</m:t>
                  </m:r>
                </m:sup>
              </m:sSup>
            </m:num>
            <m:den>
              <m:sSub>
                <m:e>
                  <m:r>
                    <m:t>N</m:t>
                  </m:r>
                </m:e>
                <m:sub>
                  <m:r>
                    <m:t>L</m:t>
                  </m:r>
                </m:sub>
              </m:sSub>
              <m:r>
                <m:rPr>
                  <m:sty m:val="p"/>
                </m:rPr>
                <m:t>−</m:t>
              </m:r>
              <m:r>
                <m:t>1</m:t>
              </m:r>
            </m:den>
          </m:f>
          <m:r>
            <m:rPr>
              <m:sty m:val="p"/>
            </m:rPr>
            <m:t>,</m:t>
          </m:r>
          <m:r>
            <m:t>  </m:t>
          </m:r>
          <m:sSubSup>
            <m:e>
              <m:r>
                <m:t>T</m:t>
              </m:r>
            </m:e>
            <m:sub>
              <m:r>
                <m:t>R</m:t>
              </m:r>
            </m:sub>
            <m:sup>
              <m:r>
                <m:rPr>
                  <m:sty m:val="p"/>
                </m:rPr>
                <m:t>′</m:t>
              </m:r>
            </m:sup>
          </m:sSubSup>
          <m:r>
            <m:rPr>
              <m:sty m:val="p"/>
            </m:rPr>
            <m:t>=</m:t>
          </m:r>
          <m:f>
            <m:fPr>
              <m:type m:val="bar"/>
            </m:fPr>
            <m:num>
              <m:sSub>
                <m:e>
                  <m:r>
                    <m:t>N</m:t>
                  </m:r>
                </m:e>
                <m:sub>
                  <m:r>
                    <m:t>R</m:t>
                  </m:r>
                </m:sub>
              </m:sSub>
              <m:r>
                <m:rPr>
                  <m:sty m:val="p"/>
                </m:rPr>
                <m:t>⋅</m:t>
              </m:r>
              <m:sSub>
                <m:e>
                  <m:r>
                    <m:t>T</m:t>
                  </m:r>
                </m:e>
                <m:sub>
                  <m:r>
                    <m:t>R</m:t>
                  </m:r>
                </m:sub>
              </m:sSub>
              <m:r>
                <m:rPr>
                  <m:sty m:val="p"/>
                </m:rPr>
                <m:t>+</m:t>
              </m:r>
              <m:f>
                <m:fPr>
                  <m:type m:val="lin"/>
                </m:fPr>
                <m:num>
                  <m:r>
                    <m:t>1</m:t>
                  </m:r>
                </m:num>
                <m:den>
                  <m:r>
                    <m:t>2</m:t>
                  </m:r>
                </m:den>
              </m:f>
              <m:sSup>
                <m:e>
                  <m:r>
                    <m:t>s</m:t>
                  </m:r>
                </m:e>
                <m:sup>
                  <m:r>
                    <m:t>2</m:t>
                  </m:r>
                </m:sup>
              </m:sSup>
            </m:num>
            <m:den>
              <m:sSub>
                <m:e>
                  <m:r>
                    <m:t>N</m:t>
                  </m:r>
                </m:e>
                <m:sub>
                  <m:r>
                    <m:t>R</m:t>
                  </m:r>
                </m:sub>
              </m:sSub>
              <m:r>
                <m:rPr>
                  <m:sty m:val="p"/>
                </m:rPr>
                <m:t>+</m:t>
              </m:r>
              <m:r>
                <m:t>1</m:t>
              </m:r>
            </m:den>
          </m:f>
        </m:oMath>
      </m:oMathPara>
    </w:p>
    <w:p>
      <w:pPr>
        <w:pStyle w:val="FirstParagraph"/>
      </w:pPr>
      <w:r>
        <w:t xml:space="preserve">The change in</w:t>
      </w:r>
      <w:r>
        <w:t xml:space="preserve"> </w:t>
      </w:r>
      <m:oMath>
        <m:r>
          <m:rPr>
            <m:sty m:val="p"/>
          </m:rPr>
          <m:t>Δ</m:t>
        </m:r>
        <m:r>
          <m:t>T</m:t>
        </m:r>
      </m:oMath>
      <w:r>
        <w:t xml:space="preserve"> </w:t>
      </w:r>
      <w:r>
        <w:t xml:space="preserve">is (for a left-to-right crossing):</w:t>
      </w:r>
    </w:p>
    <w:p>
      <w:pPr>
        <w:pStyle w:val="BodyText"/>
      </w:pPr>
      <m:oMathPara>
        <m:oMathParaPr>
          <m:jc m:val="center"/>
        </m:oMathParaPr>
        <m:oMath>
          <m:r>
            <m:rPr>
              <m:sty m:val="p"/>
            </m:rPr>
            <m:t>Δ</m:t>
          </m:r>
          <m:r>
            <m:rPr>
              <m:sty m:val="p"/>
            </m:rPr>
            <m:t>(</m:t>
          </m:r>
          <m:r>
            <m:rPr>
              <m:sty m:val="p"/>
            </m:rPr>
            <m:t>Δ</m:t>
          </m:r>
          <m:r>
            <m:t>T</m:t>
          </m:r>
          <m:r>
            <m:rPr>
              <m:sty m:val="p"/>
            </m:rPr>
            <m:t>)</m:t>
          </m:r>
          <m:r>
            <m:rPr>
              <m:sty m:val="p"/>
            </m:rPr>
            <m:t>=</m:t>
          </m:r>
          <m:f>
            <m:fPr>
              <m:type m:val="bar"/>
            </m:fPr>
            <m:num>
              <m:f>
                <m:fPr>
                  <m:type m:val="lin"/>
                </m:fPr>
                <m:num>
                  <m:r>
                    <m:t>1</m:t>
                  </m:r>
                </m:num>
                <m:den>
                  <m:r>
                    <m:t>2</m:t>
                  </m:r>
                </m:den>
              </m:f>
              <m:sSup>
                <m:e>
                  <m:r>
                    <m:t>s</m:t>
                  </m:r>
                </m:e>
                <m:sup>
                  <m:r>
                    <m:t>2</m:t>
                  </m:r>
                </m:sup>
              </m:sSup>
              <m:r>
                <m:rPr>
                  <m:sty m:val="p"/>
                </m:rPr>
                <m:t>−</m:t>
              </m:r>
              <m:sSub>
                <m:e>
                  <m:r>
                    <m:t>T</m:t>
                  </m:r>
                </m:e>
                <m:sub>
                  <m:r>
                    <m:t>R</m:t>
                  </m:r>
                </m:sub>
              </m:sSub>
            </m:num>
            <m:den>
              <m:sSub>
                <m:e>
                  <m:r>
                    <m:t>N</m:t>
                  </m:r>
                </m:e>
                <m:sub>
                  <m:r>
                    <m:t>R</m:t>
                  </m:r>
                </m:sub>
              </m:sSub>
              <m:r>
                <m:rPr>
                  <m:sty m:val="p"/>
                </m:rPr>
                <m:t>+</m:t>
              </m:r>
              <m:r>
                <m:t>1</m:t>
              </m:r>
            </m:den>
          </m:f>
          <m:r>
            <m:rPr>
              <m:sty m:val="p"/>
            </m:rPr>
            <m:t>+</m:t>
          </m:r>
          <m:f>
            <m:fPr>
              <m:type m:val="bar"/>
            </m:fPr>
            <m:num>
              <m:f>
                <m:fPr>
                  <m:type m:val="lin"/>
                </m:fPr>
                <m:num>
                  <m:r>
                    <m:t>1</m:t>
                  </m:r>
                </m:num>
                <m:den>
                  <m:r>
                    <m:t>2</m:t>
                  </m:r>
                </m:den>
              </m:f>
              <m:sSup>
                <m:e>
                  <m:r>
                    <m:t>s</m:t>
                  </m:r>
                </m:e>
                <m:sup>
                  <m:r>
                    <m:t>2</m:t>
                  </m:r>
                </m:sup>
              </m:sSup>
              <m:r>
                <m:rPr>
                  <m:sty m:val="p"/>
                </m:rPr>
                <m:t>−</m:t>
              </m:r>
              <m:sSub>
                <m:e>
                  <m:r>
                    <m:t>T</m:t>
                  </m:r>
                </m:e>
                <m:sub>
                  <m:r>
                    <m:t>L</m:t>
                  </m:r>
                </m:sub>
              </m:sSub>
            </m:num>
            <m:den>
              <m:sSub>
                <m:e>
                  <m:r>
                    <m:t>N</m:t>
                  </m:r>
                </m:e>
                <m:sub>
                  <m:r>
                    <m:t>L</m:t>
                  </m:r>
                </m:sub>
              </m:sSub>
              <m:r>
                <m:rPr>
                  <m:sty m:val="p"/>
                </m:rPr>
                <m:t>−</m:t>
              </m:r>
              <m:r>
                <m:t>1</m:t>
              </m:r>
            </m:den>
          </m:f>
        </m:oMath>
      </m:oMathPara>
    </w:p>
    <w:p>
      <w:pPr>
        <w:pStyle w:val="FirstParagraph"/>
      </w:pPr>
      <w:r>
        <w:t xml:space="preserve">Setting</w:t>
      </w:r>
      <w:r>
        <w:t xml:space="preserve"> </w:t>
      </w:r>
      <m:oMath>
        <m:r>
          <m:rPr>
            <m:sty m:val="p"/>
          </m:rPr>
          <m:t>Δ</m:t>
        </m:r>
        <m:r>
          <m:rPr>
            <m:sty m:val="p"/>
          </m:rPr>
          <m:t>(</m:t>
        </m:r>
        <m:r>
          <m:rPr>
            <m:sty m:val="p"/>
          </m:rPr>
          <m:t>Δ</m:t>
        </m:r>
        <m:r>
          <m:t>T</m:t>
        </m:r>
        <m:r>
          <m:rPr>
            <m:sty m:val="p"/>
          </m:rPr>
          <m:t>)</m:t>
        </m:r>
        <m:r>
          <m:rPr>
            <m:sty m:val="p"/>
          </m:rPr>
          <m:t>&gt;</m:t>
        </m:r>
        <m:r>
          <m:t>0</m:t>
        </m:r>
      </m:oMath>
      <w:r>
        <w:t xml:space="preserve"> </w:t>
      </w:r>
      <w:r>
        <w:t xml:space="preserve">and solving for</w:t>
      </w:r>
      <w:r>
        <w:t xml:space="preserve"> </w:t>
      </w:r>
      <m:oMath>
        <m:f>
          <m:fPr>
            <m:type m:val="bar"/>
          </m:fPr>
          <m:num>
            <m:r>
              <m:t>1</m:t>
            </m:r>
          </m:num>
          <m:den>
            <m:r>
              <m:t>2</m:t>
            </m:r>
          </m:den>
        </m:f>
        <m:sSup>
          <m:e>
            <m:r>
              <m:t>s</m:t>
            </m:r>
          </m:e>
          <m:sup>
            <m:r>
              <m:t>2</m:t>
            </m:r>
          </m:sup>
        </m:sSup>
      </m:oMath>
      <w:r>
        <w:t xml:space="preserve">:</w:t>
      </w:r>
    </w:p>
    <w:p>
      <w:pPr>
        <w:pStyle w:val="BodyText"/>
      </w:pPr>
      <m:oMathPara>
        <m:oMathParaPr>
          <m:jc m:val="center"/>
        </m:oMathParaPr>
        <m:oMath>
          <m:f>
            <m:fPr>
              <m:type m:val="lin"/>
            </m:fPr>
            <m:num>
              <m:r>
                <m:t>1</m:t>
              </m:r>
            </m:num>
            <m:den>
              <m:r>
                <m:t>2</m:t>
              </m:r>
            </m:den>
          </m:f>
          <m:sSup>
            <m:e>
              <m:r>
                <m:t>s</m:t>
              </m:r>
            </m:e>
            <m:sup>
              <m:r>
                <m:t>2</m:t>
              </m:r>
            </m:sup>
          </m:sSup>
          <m:r>
            <m:rPr>
              <m:sty m:val="p"/>
            </m:rPr>
            <m:t>&gt;</m:t>
          </m:r>
          <m:f>
            <m:fPr>
              <m:type m:val="bar"/>
            </m:fPr>
            <m:num>
              <m:f>
                <m:fPr>
                  <m:type m:val="bar"/>
                </m:fPr>
                <m:num>
                  <m:sSub>
                    <m:e>
                      <m:r>
                        <m:t>T</m:t>
                      </m:r>
                    </m:e>
                    <m:sub>
                      <m:r>
                        <m:t>R</m:t>
                      </m:r>
                    </m:sub>
                  </m:sSub>
                </m:num>
                <m:den>
                  <m:sSub>
                    <m:e>
                      <m:r>
                        <m:t>N</m:t>
                      </m:r>
                    </m:e>
                    <m:sub>
                      <m:r>
                        <m:t>R</m:t>
                      </m:r>
                    </m:sub>
                  </m:sSub>
                  <m:r>
                    <m:rPr>
                      <m:sty m:val="p"/>
                    </m:rPr>
                    <m:t>+</m:t>
                  </m:r>
                  <m:r>
                    <m:t>1</m:t>
                  </m:r>
                </m:den>
              </m:f>
              <m:r>
                <m:rPr>
                  <m:sty m:val="p"/>
                </m:rPr>
                <m:t>+</m:t>
              </m:r>
              <m:f>
                <m:fPr>
                  <m:type m:val="bar"/>
                </m:fPr>
                <m:num>
                  <m:sSub>
                    <m:e>
                      <m:r>
                        <m:t>T</m:t>
                      </m:r>
                    </m:e>
                    <m:sub>
                      <m:r>
                        <m:t>L</m:t>
                      </m:r>
                    </m:sub>
                  </m:sSub>
                </m:num>
                <m:den>
                  <m:sSub>
                    <m:e>
                      <m:r>
                        <m:t>N</m:t>
                      </m:r>
                    </m:e>
                    <m:sub>
                      <m:r>
                        <m:t>L</m:t>
                      </m:r>
                    </m:sub>
                  </m:sSub>
                  <m:r>
                    <m:rPr>
                      <m:sty m:val="p"/>
                    </m:rPr>
                    <m:t>−</m:t>
                  </m:r>
                  <m:r>
                    <m:t>1</m:t>
                  </m:r>
                </m:den>
              </m:f>
            </m:num>
            <m:den>
              <m:f>
                <m:fPr>
                  <m:type m:val="bar"/>
                </m:fPr>
                <m:num>
                  <m:r>
                    <m:t>1</m:t>
                  </m:r>
                </m:num>
                <m:den>
                  <m:sSub>
                    <m:e>
                      <m:r>
                        <m:t>N</m:t>
                      </m:r>
                    </m:e>
                    <m:sub>
                      <m:r>
                        <m:t>R</m:t>
                      </m:r>
                    </m:sub>
                  </m:sSub>
                  <m:r>
                    <m:rPr>
                      <m:sty m:val="p"/>
                    </m:rPr>
                    <m:t>+</m:t>
                  </m:r>
                  <m:r>
                    <m:t>1</m:t>
                  </m:r>
                </m:den>
              </m:f>
              <m:r>
                <m:rPr>
                  <m:sty m:val="p"/>
                </m:rPr>
                <m:t>+</m:t>
              </m:r>
              <m:f>
                <m:fPr>
                  <m:type m:val="bar"/>
                </m:fPr>
                <m:num>
                  <m:r>
                    <m:t>1</m:t>
                  </m:r>
                </m:num>
                <m:den>
                  <m:sSub>
                    <m:e>
                      <m:r>
                        <m:t>N</m:t>
                      </m:r>
                    </m:e>
                    <m:sub>
                      <m:r>
                        <m:t>L</m:t>
                      </m:r>
                    </m:sub>
                  </m:sSub>
                  <m:r>
                    <m:rPr>
                      <m:sty m:val="p"/>
                    </m:rPr>
                    <m:t>−</m:t>
                  </m:r>
                  <m:r>
                    <m:t>1</m:t>
                  </m:r>
                </m:den>
              </m:f>
            </m:den>
          </m:f>
        </m:oMath>
      </m:oMathPara>
    </w:p>
    <w:p>
      <w:pPr>
        <w:pStyle w:val="FirstParagraph"/>
      </w:pPr>
      <w:r>
        <w:t xml:space="preserve">The right-hand side is a</w:t>
      </w:r>
      <w:r>
        <w:t xml:space="preserve"> </w:t>
      </w:r>
      <w:r>
        <w:rPr>
          <w:b/>
          <w:bCs/>
        </w:rPr>
        <w:t xml:space="preserve">weighted average of both sides’ temperatures</w:t>
      </w:r>
      <w:r>
        <w:t xml:space="preserve">, with weights inversely proportional to the post-crossing pool sizes.</w:t>
      </w:r>
    </w:p>
    <w:p>
      <w:pPr>
        <w:pStyle w:val="BodyText"/>
      </w:pPr>
      <w:r>
        <w:rPr>
          <w:b/>
          <w:bCs/>
        </w:rPr>
        <w:t xml:space="preserve">Right → left (sending a slow particle to the cold side).</w:t>
      </w:r>
      <w:r>
        <w:t xml:space="preserve"> </w:t>
      </w:r>
      <w:r>
        <w:t xml:space="preserve">By symmetric reasoning:</w:t>
      </w:r>
    </w:p>
    <w:p>
      <w:pPr>
        <w:pStyle w:val="BodyText"/>
      </w:pPr>
      <m:oMathPara>
        <m:oMathParaPr>
          <m:jc m:val="center"/>
        </m:oMathParaPr>
        <m:oMath>
          <m:f>
            <m:fPr>
              <m:type m:val="lin"/>
            </m:fPr>
            <m:num>
              <m:r>
                <m:t>1</m:t>
              </m:r>
            </m:num>
            <m:den>
              <m:r>
                <m:t>2</m:t>
              </m:r>
            </m:den>
          </m:f>
          <m:sSup>
            <m:e>
              <m:r>
                <m:t>s</m:t>
              </m:r>
            </m:e>
            <m:sup>
              <m:r>
                <m:t>2</m:t>
              </m:r>
            </m:sup>
          </m:sSup>
          <m:r>
            <m:rPr>
              <m:sty m:val="p"/>
            </m:rPr>
            <m:t>&lt;</m:t>
          </m:r>
          <m:f>
            <m:fPr>
              <m:type m:val="bar"/>
            </m:fPr>
            <m:num>
              <m:f>
                <m:fPr>
                  <m:type m:val="bar"/>
                </m:fPr>
                <m:num>
                  <m:sSub>
                    <m:e>
                      <m:r>
                        <m:t>T</m:t>
                      </m:r>
                    </m:e>
                    <m:sub>
                      <m:r>
                        <m:t>R</m:t>
                      </m:r>
                    </m:sub>
                  </m:sSub>
                </m:num>
                <m:den>
                  <m:sSub>
                    <m:e>
                      <m:r>
                        <m:t>N</m:t>
                      </m:r>
                    </m:e>
                    <m:sub>
                      <m:r>
                        <m:t>R</m:t>
                      </m:r>
                    </m:sub>
                  </m:sSub>
                  <m:r>
                    <m:rPr>
                      <m:sty m:val="p"/>
                    </m:rPr>
                    <m:t>−</m:t>
                  </m:r>
                  <m:r>
                    <m:t>1</m:t>
                  </m:r>
                </m:den>
              </m:f>
              <m:r>
                <m:rPr>
                  <m:sty m:val="p"/>
                </m:rPr>
                <m:t>+</m:t>
              </m:r>
              <m:f>
                <m:fPr>
                  <m:type m:val="bar"/>
                </m:fPr>
                <m:num>
                  <m:sSub>
                    <m:e>
                      <m:r>
                        <m:t>T</m:t>
                      </m:r>
                    </m:e>
                    <m:sub>
                      <m:r>
                        <m:t>L</m:t>
                      </m:r>
                    </m:sub>
                  </m:sSub>
                </m:num>
                <m:den>
                  <m:sSub>
                    <m:e>
                      <m:r>
                        <m:t>N</m:t>
                      </m:r>
                    </m:e>
                    <m:sub>
                      <m:r>
                        <m:t>L</m:t>
                      </m:r>
                    </m:sub>
                  </m:sSub>
                  <m:r>
                    <m:rPr>
                      <m:sty m:val="p"/>
                    </m:rPr>
                    <m:t>+</m:t>
                  </m:r>
                  <m:r>
                    <m:t>1</m:t>
                  </m:r>
                </m:den>
              </m:f>
            </m:num>
            <m:den>
              <m:f>
                <m:fPr>
                  <m:type m:val="bar"/>
                </m:fPr>
                <m:num>
                  <m:r>
                    <m:t>1</m:t>
                  </m:r>
                </m:num>
                <m:den>
                  <m:sSub>
                    <m:e>
                      <m:r>
                        <m:t>N</m:t>
                      </m:r>
                    </m:e>
                    <m:sub>
                      <m:r>
                        <m:t>R</m:t>
                      </m:r>
                    </m:sub>
                  </m:sSub>
                  <m:r>
                    <m:rPr>
                      <m:sty m:val="p"/>
                    </m:rPr>
                    <m:t>−</m:t>
                  </m:r>
                  <m:r>
                    <m:t>1</m:t>
                  </m:r>
                </m:den>
              </m:f>
              <m:r>
                <m:rPr>
                  <m:sty m:val="p"/>
                </m:rPr>
                <m:t>+</m:t>
              </m:r>
              <m:f>
                <m:fPr>
                  <m:type m:val="bar"/>
                </m:fPr>
                <m:num>
                  <m:r>
                    <m:t>1</m:t>
                  </m:r>
                </m:num>
                <m:den>
                  <m:sSub>
                    <m:e>
                      <m:r>
                        <m:t>N</m:t>
                      </m:r>
                    </m:e>
                    <m:sub>
                      <m:r>
                        <m:t>L</m:t>
                      </m:r>
                    </m:sub>
                  </m:sSub>
                  <m:r>
                    <m:rPr>
                      <m:sty m:val="p"/>
                    </m:rPr>
                    <m:t>+</m:t>
                  </m:r>
                  <m:r>
                    <m:t>1</m:t>
                  </m:r>
                </m:den>
              </m:f>
            </m:den>
          </m:f>
        </m:oMath>
      </m:oMathPara>
    </w:p>
    <w:p>
      <w:pPr>
        <w:pStyle w:val="FirstParagraph"/>
      </w:pPr>
      <w:r>
        <w:t xml:space="preserve">Three properties make this the optimal rule:</w:t>
      </w:r>
    </w:p>
    <w:p>
      <w:pPr>
        <w:pStyle w:val="Compact"/>
        <w:numPr>
          <w:ilvl w:val="0"/>
          <w:numId w:val="1002"/>
        </w:numPr>
      </w:pPr>
      <w:r>
        <w:rPr>
          <w:b/>
          <w:bCs/>
        </w:rPr>
        <w:t xml:space="preserve">It operates in energy space (</w:t>
      </w:r>
      <m:oMath>
        <m:f>
          <m:fPr>
            <m:type m:val="bar"/>
          </m:fPr>
          <m:num>
            <m:r>
              <m:t>1</m:t>
            </m:r>
          </m:num>
          <m:den>
            <m:r>
              <m:t>2</m:t>
            </m:r>
          </m:den>
        </m:f>
        <m:sSup>
          <m:e>
            <m:r>
              <m:t>s</m:t>
            </m:r>
          </m:e>
          <m:sup>
            <m:r>
              <m:t>2</m:t>
            </m:r>
          </m:sup>
        </m:sSup>
      </m:oMath>
      <w:r>
        <w:rPr>
          <w:b/>
          <w:bCs/>
        </w:rPr>
        <w:t xml:space="preserve">), not speed space.</w:t>
      </w:r>
      <w:r>
        <w:t xml:space="preserve"> </w:t>
      </w:r>
      <w:r>
        <w:t xml:space="preserve">The mean-based demons compare speeds, but temperature is mean kinetic energy. A particle with speed slightly above the mean speed can still have KE below the mean KE, because KE scales as</w:t>
      </w:r>
      <w:r>
        <w:t xml:space="preserve"> </w:t>
      </w:r>
      <m:oMath>
        <m:sSup>
          <m:e>
            <m:r>
              <m:t>s</m:t>
            </m:r>
          </m:e>
          <m:sup>
            <m:r>
              <m:t>2</m:t>
            </m:r>
          </m:sup>
        </m:sSup>
      </m:oMath>
      <w:r>
        <w:t xml:space="preserve">. The optimal threshold avoids this mismatch.</w:t>
      </w:r>
    </w:p>
    <w:p>
      <w:pPr>
        <w:pStyle w:val="Compact"/>
        <w:numPr>
          <w:ilvl w:val="0"/>
          <w:numId w:val="1002"/>
        </w:numPr>
      </w:pPr>
      <w:r>
        <w:rPr>
          <w:b/>
          <w:bCs/>
        </w:rPr>
        <w:t xml:space="preserve">It uses information from both sides.</w:t>
      </w:r>
      <w:r>
        <w:t xml:space="preserve"> </w:t>
      </w:r>
      <w:r>
        <w:t xml:space="preserve">The adaptive demon only knows its own side’s mean. The optimal demon knows both</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and can compute the exact breakeven point where a crossing helps vs. hurts.</w:t>
      </w:r>
    </w:p>
    <w:p>
      <w:pPr>
        <w:pStyle w:val="Compact"/>
        <w:numPr>
          <w:ilvl w:val="0"/>
          <w:numId w:val="1002"/>
        </w:numPr>
      </w:pPr>
      <w:r>
        <w:rPr>
          <w:b/>
          <w:bCs/>
        </w:rPr>
        <w:t xml:space="preserve">It is greedy-optimal.</w:t>
      </w:r>
      <w:r>
        <w:t xml:space="preserve"> </w:t>
      </w:r>
      <w:r>
        <w:t xml:space="preserve">Every individual crossing that satisfies the threshold increases ΔT. While a globally optimal strategy over the full trajectory would require dynamic programming, with 2000 particles and thousands of crossings the greedy solution is expected to be very close.</w:t>
      </w:r>
    </w:p>
    <w:bookmarkEnd w:id="13"/>
    <w:bookmarkStart w:id="14" w:name="the-sweep"/>
    <w:p>
      <w:pPr>
        <w:pStyle w:val="Heading3"/>
      </w:pPr>
      <w:r>
        <w:t xml:space="preserve">The Sweep</w:t>
      </w:r>
    </w:p>
    <w:p>
      <w:pPr>
        <w:pStyle w:val="FirstParagraph"/>
      </w:pPr>
      <w:r>
        <w:t xml:space="preserve">To compare regimes fairly, the automated r-sweep:</w:t>
      </w:r>
    </w:p>
    <w:p>
      <w:pPr>
        <w:pStyle w:val="Compact"/>
        <w:numPr>
          <w:ilvl w:val="0"/>
          <w:numId w:val="1003"/>
        </w:numPr>
      </w:pPr>
      <w:r>
        <w:t xml:space="preserve">Initializes all 2000 particles once and saves the exact state (positions + velocities).</w:t>
      </w:r>
    </w:p>
    <w:p>
      <w:pPr>
        <w:pStyle w:val="Compact"/>
        <w:numPr>
          <w:ilvl w:val="0"/>
          <w:numId w:val="1003"/>
        </w:numPr>
      </w:pPr>
      <w:r>
        <w:t xml:space="preserve">Runs the classical (adaptive) demon from that saved state to convergence.</w:t>
      </w:r>
    </w:p>
    <w:p>
      <w:pPr>
        <w:pStyle w:val="Compact"/>
        <w:numPr>
          <w:ilvl w:val="0"/>
          <w:numId w:val="1003"/>
        </w:numPr>
      </w:pPr>
      <w:r>
        <w:t xml:space="preserve">Runs the optimal (</w:t>
      </w:r>
      <w:r>
        <w:t xml:space="preserve">“god”</w:t>
      </w:r>
      <w:r>
        <w:t xml:space="preserve">) demon from the same saved state to convergence.</w:t>
      </w:r>
    </w:p>
    <w:p>
      <w:pPr>
        <w:pStyle w:val="Compact"/>
        <w:numPr>
          <w:ilvl w:val="0"/>
          <w:numId w:val="1003"/>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ten</w:t>
      </w:r>
      <w:r>
        <w:t xml:space="preserve"> </w:t>
      </w:r>
      <w:r>
        <w:t xml:space="preserve">sweeps (seeds 1000–1009) captured on 11 April 2026 with N = 2000 particles.</w:t>
      </w:r>
    </w:p>
    <w:bookmarkEnd w:id="14"/>
    <w:bookmarkEnd w:id="15"/>
    <w:bookmarkStart w:id="42" w:name="results"/>
    <w:p>
      <w:pPr>
        <w:pStyle w:val="Heading2"/>
      </w:pPr>
      <w:r>
        <w:t xml:space="preserve">3. Results</w:t>
      </w:r>
    </w:p>
    <w:bookmarkStart w:id="19" w:name="the-money-plot-δt-vs-rl"/>
    <w:p>
      <w:pPr>
        <w:pStyle w:val="Heading3"/>
      </w:pPr>
      <w:r>
        <w:t xml:space="preserve">3.1 The Money Plot: ΔT vs r/L</w:t>
      </w:r>
    </w:p>
    <w:p>
      <w:pPr>
        <w:pStyle w:val="CaptionedFigure"/>
      </w:pPr>
      <w:r>
        <w:drawing>
          <wp:inline>
            <wp:extent cx="5334000" cy="3048000"/>
            <wp:effectExtent b="0" l="0" r="0" t="0"/>
            <wp:docPr descr="ΔT vs r/L" title="" id="17" name="Picture"/>
            <a:graphic>
              <a:graphicData uri="http://schemas.openxmlformats.org/drawingml/2006/picture">
                <pic:pic>
                  <pic:nvPicPr>
                    <pic:cNvPr descr="report_plots/sweep_deltaT.png" id="18" name="Picture"/>
                    <pic:cNvPicPr>
                      <a:picLocks noChangeArrowheads="1" noChangeAspect="1"/>
                    </pic:cNvPicPr>
                  </pic:nvPicPr>
                  <pic:blipFill>
                    <a:blip r:embed="rId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Baselines (10 seeds, 1000–1009):</w:t>
      </w:r>
    </w:p>
    <w:p>
      <w:pPr>
        <w:pStyle w:val="Compact"/>
        <w:numPr>
          <w:ilvl w:val="0"/>
          <w:numId w:val="1004"/>
        </w:numPr>
      </w:pPr>
      <w:r>
        <w:t xml:space="preserve">Adaptive:</w:t>
      </w:r>
      <w:r>
        <w:t xml:space="preserve"> </w:t>
      </w:r>
      <m:oMath>
        <m:r>
          <m:rPr>
            <m:sty m:val="p"/>
          </m:rPr>
          <m:t>Δ</m:t>
        </m:r>
        <m:r>
          <m:t>T</m:t>
        </m:r>
      </m:oMath>
      <w:r>
        <w:t xml:space="preserve"> </w:t>
      </w:r>
      <w:r>
        <w:t xml:space="preserve">=</w:t>
      </w:r>
      <w:r>
        <w:t xml:space="preserve"> </w:t>
      </w:r>
      <w:r>
        <w:rPr>
          <w:b/>
          <w:bCs/>
        </w:rPr>
        <w:t xml:space="preserve">0.44 ± 0.05</w:t>
      </w:r>
      <w:r>
        <w:t xml:space="preserve"> </w:t>
      </w:r>
      <w:r>
        <w:t xml:space="preserve">(steady at</w:t>
      </w:r>
      <w:r>
        <w:t xml:space="preserve"> </w:t>
      </w:r>
      <m:oMath>
        <m:r>
          <m:t>t</m:t>
        </m:r>
      </m:oMath>
      <w:r>
        <w:t xml:space="preserve"> </w:t>
      </w:r>
      <w:r>
        <w:t xml:space="preserve">= 174 ± 37 s, 23,780 ± 307 bits)</w:t>
      </w:r>
    </w:p>
    <w:p>
      <w:pPr>
        <w:pStyle w:val="Compact"/>
        <w:numPr>
          <w:ilvl w:val="0"/>
          <w:numId w:val="1004"/>
        </w:numPr>
      </w:pPr>
      <w:r>
        <w:t xml:space="preserve">Optimal (god):</w:t>
      </w:r>
      <w:r>
        <w:t xml:space="preserve"> </w:t>
      </w:r>
      <m:oMath>
        <m:r>
          <m:rPr>
            <m:sty m:val="p"/>
          </m:rPr>
          <m:t>Δ</m:t>
        </m:r>
        <m:r>
          <m:t>T</m:t>
        </m:r>
      </m:oMath>
      <w:r>
        <w:t xml:space="preserve"> </w:t>
      </w:r>
      <w:r>
        <w:t xml:space="preserve">=</w:t>
      </w:r>
      <w:r>
        <w:t xml:space="preserve"> </w:t>
      </w:r>
      <w:r>
        <w:rPr>
          <w:b/>
          <w:bCs/>
        </w:rPr>
        <w:t xml:space="preserve">0.46 ± 0.07</w:t>
      </w:r>
      <w:r>
        <w:t xml:space="preserve"> </w:t>
      </w:r>
      <w:r>
        <w:t xml:space="preserve">(steady at</w:t>
      </w:r>
      <w:r>
        <w:t xml:space="preserve"> </w:t>
      </w:r>
      <m:oMath>
        <m:r>
          <m:t>t</m:t>
        </m:r>
      </m:oMath>
      <w:r>
        <w:t xml:space="preserve"> </w:t>
      </w:r>
      <w:r>
        <w:t xml:space="preserve">= 226 ± 48 s, 17,918 ± 3,269 bits)</w:t>
      </w:r>
    </w:p>
    <w:p>
      <w:pPr>
        <w:pStyle w:val="FirstParagraph"/>
      </w:pPr>
      <w:r>
        <w:t xml:space="preserve">The god demon averages 6% higher</w:t>
      </w:r>
      <w:r>
        <w:t xml:space="preserve"> </w:t>
      </w:r>
      <m:oMath>
        <m:r>
          <m:rPr>
            <m:sty m:val="p"/>
          </m:rPr>
          <m:t>Δ</m:t>
        </m:r>
        <m:r>
          <m:t>T</m:t>
        </m:r>
      </m:oMath>
      <w:r>
        <w:t xml:space="preserve"> </w:t>
      </w:r>
      <w:r>
        <w:t xml:space="preserve">than adaptive but with 50% more variance and 30% slower convergence. It underperforms adaptive in 3 of 10 seeds (1002, 1004, 1009), suggesting the greedy-optimal strategy’s sensitivity to the specific microstate outweighs its theoretical advantage in some configurations.</w:t>
      </w:r>
    </w:p>
    <w:p>
      <w:pPr>
        <w:pStyle w:val="BodyText"/>
      </w:pPr>
      <w:r>
        <w:rPr>
          <w:b/>
          <w:bCs/>
        </w:rPr>
        <w:t xml:space="preserve">Local demon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r</m:t>
              </m:r>
              <m:r>
                <m:rPr>
                  <m:sty m:val="p"/>
                </m:rPr>
                <m:t>/</m:t>
              </m:r>
              <m:r>
                <m:t>L</m:t>
              </m:r>
            </m:oMath>
          </w:p>
        </w:tc>
        <w:tc>
          <w:tcPr/>
          <w:p>
            <w:pPr>
              <w:pStyle w:val="Compact"/>
            </w:pPr>
            <m:oMath>
              <m:r>
                <m:rPr>
                  <m:sty m:val="p"/>
                </m:rPr>
                <m:t>Δ</m:t>
              </m:r>
              <m:r>
                <m:t>T</m:t>
              </m:r>
            </m:oMath>
            <w:r>
              <w:t xml:space="preserve"> </w:t>
            </w:r>
            <w:r>
              <w:t xml:space="preserve">(mean±σ)</w:t>
            </w:r>
          </w:p>
        </w:tc>
        <w:tc>
          <w:tcPr/>
          <w:p>
            <w:pPr>
              <w:pStyle w:val="Compact"/>
            </w:pPr>
            <w:r>
              <w:t xml:space="preserve">% of adaptive</w:t>
            </w:r>
          </w:p>
        </w:tc>
        <w:tc>
          <w:tcPr/>
          <w:p>
            <w:pPr>
              <w:pStyle w:val="Compact"/>
            </w:pPr>
            <w:r>
              <w:t xml:space="preserve">% of god</w:t>
            </w:r>
          </w:p>
        </w:tc>
      </w:tr>
      <w:tr>
        <w:tc>
          <w:tcPr/>
          <w:p>
            <w:pPr>
              <w:pStyle w:val="Compact"/>
            </w:pPr>
            <w:r>
              <w:t xml:space="preserve">0.02</w:t>
            </w:r>
          </w:p>
        </w:tc>
        <w:tc>
          <w:tcPr/>
          <w:p>
            <w:pPr>
              <w:pStyle w:val="Compact"/>
            </w:pPr>
            <w:r>
              <w:t xml:space="preserve">0.290 ± 0.055</w:t>
            </w:r>
          </w:p>
        </w:tc>
        <w:tc>
          <w:tcPr/>
          <w:p>
            <w:pPr>
              <w:pStyle w:val="Compact"/>
            </w:pPr>
            <w:r>
              <w:t xml:space="preserve">67.5% ± 14.3%</w:t>
            </w:r>
          </w:p>
        </w:tc>
        <w:tc>
          <w:tcPr/>
          <w:p>
            <w:pPr>
              <w:pStyle w:val="Compact"/>
            </w:pPr>
            <w:r>
              <w:t xml:space="preserve">64.8% ± 17.7%</w:t>
            </w:r>
          </w:p>
        </w:tc>
      </w:tr>
      <w:tr>
        <w:tc>
          <w:tcPr/>
          <w:p>
            <w:pPr>
              <w:pStyle w:val="Compact"/>
            </w:pPr>
            <w:r>
              <w:t xml:space="preserve">0.09</w:t>
            </w:r>
          </w:p>
        </w:tc>
        <w:tc>
          <w:tcPr/>
          <w:p>
            <w:pPr>
              <w:pStyle w:val="Compact"/>
            </w:pPr>
            <w:r>
              <w:t xml:space="preserve">0.402 ± 0.045</w:t>
            </w:r>
          </w:p>
        </w:tc>
        <w:tc>
          <w:tcPr/>
          <w:p>
            <w:pPr>
              <w:pStyle w:val="Compact"/>
            </w:pPr>
            <w:r>
              <w:t xml:space="preserve">93.3% ± 13.6%</w:t>
            </w:r>
          </w:p>
        </w:tc>
        <w:tc>
          <w:tcPr/>
          <w:p>
            <w:pPr>
              <w:pStyle w:val="Compact"/>
            </w:pPr>
            <w:r>
              <w:t xml:space="preserve">89.1% ± 16.0%</w:t>
            </w:r>
          </w:p>
        </w:tc>
      </w:tr>
      <w:tr>
        <w:tc>
          <w:tcPr/>
          <w:p>
            <w:pPr>
              <w:pStyle w:val="Compact"/>
            </w:pPr>
            <w:r>
              <w:t xml:space="preserve">0.16</w:t>
            </w:r>
          </w:p>
        </w:tc>
        <w:tc>
          <w:tcPr/>
          <w:p>
            <w:pPr>
              <w:pStyle w:val="Compact"/>
            </w:pPr>
            <w:r>
              <w:t xml:space="preserve">0.456 ± 0.040</w:t>
            </w:r>
          </w:p>
        </w:tc>
        <w:tc>
          <w:tcPr/>
          <w:p>
            <w:pPr>
              <w:pStyle w:val="Compact"/>
            </w:pPr>
            <w:r>
              <w:t xml:space="preserve">106.0% ± 15.7%</w:t>
            </w:r>
          </w:p>
        </w:tc>
        <w:tc>
          <w:tcPr/>
          <w:p>
            <w:pPr>
              <w:pStyle w:val="Compact"/>
            </w:pPr>
            <w:r>
              <w:t xml:space="preserve">101.5% ± 19.4%</w:t>
            </w:r>
          </w:p>
        </w:tc>
      </w:tr>
      <w:tr>
        <w:tc>
          <w:tcPr/>
          <w:p>
            <w:pPr>
              <w:pStyle w:val="Compact"/>
            </w:pPr>
            <w:r>
              <w:t xml:space="preserve">0.23</w:t>
            </w:r>
          </w:p>
        </w:tc>
        <w:tc>
          <w:tcPr/>
          <w:p>
            <w:pPr>
              <w:pStyle w:val="Compact"/>
            </w:pPr>
            <w:r>
              <w:t xml:space="preserve">0.440 ± 0.054</w:t>
            </w:r>
          </w:p>
        </w:tc>
        <w:tc>
          <w:tcPr/>
          <w:p>
            <w:pPr>
              <w:pStyle w:val="Compact"/>
            </w:pPr>
            <w:r>
              <w:t xml:space="preserve">102.5% ± 17.0%</w:t>
            </w:r>
          </w:p>
        </w:tc>
        <w:tc>
          <w:tcPr/>
          <w:p>
            <w:pPr>
              <w:pStyle w:val="Compact"/>
            </w:pPr>
            <w:r>
              <w:t xml:space="preserve">97.5% ± 17.0%</w:t>
            </w:r>
          </w:p>
        </w:tc>
      </w:tr>
      <w:tr>
        <w:tc>
          <w:tcPr/>
          <w:p>
            <w:pPr>
              <w:pStyle w:val="Compact"/>
            </w:pPr>
            <w:r>
              <w:t xml:space="preserve">0.30</w:t>
            </w:r>
          </w:p>
        </w:tc>
        <w:tc>
          <w:tcPr/>
          <w:p>
            <w:pPr>
              <w:pStyle w:val="Compact"/>
            </w:pPr>
            <w:r>
              <w:t xml:space="preserve">0.463 ± 0.053</w:t>
            </w:r>
          </w:p>
        </w:tc>
        <w:tc>
          <w:tcPr/>
          <w:p>
            <w:pPr>
              <w:pStyle w:val="Compact"/>
            </w:pPr>
            <w:r>
              <w:t xml:space="preserve">106.8% ± 11.0%</w:t>
            </w:r>
          </w:p>
        </w:tc>
        <w:tc>
          <w:tcPr/>
          <w:p>
            <w:pPr>
              <w:pStyle w:val="Compact"/>
            </w:pPr>
            <w:r>
              <w:t xml:space="preserve">103.7% ± 25.2%</w:t>
            </w:r>
          </w:p>
        </w:tc>
      </w:tr>
      <w:tr>
        <w:tc>
          <w:tcPr/>
          <w:p>
            <w:pPr>
              <w:pStyle w:val="Compact"/>
            </w:pPr>
            <w:r>
              <w:t xml:space="preserve">0.37</w:t>
            </w:r>
          </w:p>
        </w:tc>
        <w:tc>
          <w:tcPr/>
          <w:p>
            <w:pPr>
              <w:pStyle w:val="Compact"/>
            </w:pPr>
            <w:r>
              <w:t xml:space="preserve">0.441 ± 0.053</w:t>
            </w:r>
          </w:p>
        </w:tc>
        <w:tc>
          <w:tcPr/>
          <w:p>
            <w:pPr>
              <w:pStyle w:val="Compact"/>
            </w:pPr>
            <w:r>
              <w:t xml:space="preserve">102.5% ± 15.6%</w:t>
            </w:r>
          </w:p>
        </w:tc>
        <w:tc>
          <w:tcPr/>
          <w:p>
            <w:pPr>
              <w:pStyle w:val="Compact"/>
            </w:pPr>
            <w:r>
              <w:t xml:space="preserve">97.2% ± 13.6%</w:t>
            </w:r>
          </w:p>
        </w:tc>
      </w:tr>
      <w:tr>
        <w:tc>
          <w:tcPr/>
          <w:p>
            <w:pPr>
              <w:pStyle w:val="Compact"/>
            </w:pPr>
            <w:r>
              <w:t xml:space="preserve">0.44</w:t>
            </w:r>
          </w:p>
        </w:tc>
        <w:tc>
          <w:tcPr/>
          <w:p>
            <w:pPr>
              <w:pStyle w:val="Compact"/>
            </w:pPr>
            <w:r>
              <w:t xml:space="preserve">0.421 ± 0.067</w:t>
            </w:r>
          </w:p>
        </w:tc>
        <w:tc>
          <w:tcPr/>
          <w:p>
            <w:pPr>
              <w:pStyle w:val="Compact"/>
            </w:pPr>
            <w:r>
              <w:t xml:space="preserve">97.6% ± 17.6%</w:t>
            </w:r>
          </w:p>
        </w:tc>
        <w:tc>
          <w:tcPr/>
          <w:p>
            <w:pPr>
              <w:pStyle w:val="Compact"/>
            </w:pPr>
            <w:r>
              <w:t xml:space="preserve">93.2% ± 19.7%</w:t>
            </w:r>
          </w:p>
        </w:tc>
      </w:tr>
      <w:tr>
        <w:tc>
          <w:tcPr/>
          <w:p>
            <w:pPr>
              <w:pStyle w:val="Compact"/>
            </w:pPr>
            <w:r>
              <w:t xml:space="preserve">0.51</w:t>
            </w:r>
          </w:p>
        </w:tc>
        <w:tc>
          <w:tcPr/>
          <w:p>
            <w:pPr>
              <w:pStyle w:val="Compact"/>
            </w:pPr>
            <w:r>
              <w:t xml:space="preserve">0.428 ± 0.045</w:t>
            </w:r>
          </w:p>
        </w:tc>
        <w:tc>
          <w:tcPr/>
          <w:p>
            <w:pPr>
              <w:pStyle w:val="Compact"/>
            </w:pPr>
            <w:r>
              <w:t xml:space="preserve">99.2% ± 13.6%</w:t>
            </w:r>
          </w:p>
        </w:tc>
        <w:tc>
          <w:tcPr/>
          <w:p>
            <w:pPr>
              <w:pStyle w:val="Compact"/>
            </w:pPr>
            <w:r>
              <w:t xml:space="preserve">94.7% ± 15.6%</w:t>
            </w:r>
          </w:p>
        </w:tc>
      </w:tr>
      <w:tr>
        <w:tc>
          <w:tcPr/>
          <w:p>
            <w:pPr>
              <w:pStyle w:val="Compact"/>
            </w:pPr>
            <w:r>
              <w:t xml:space="preserve">0.58</w:t>
            </w:r>
          </w:p>
        </w:tc>
        <w:tc>
          <w:tcPr/>
          <w:p>
            <w:pPr>
              <w:pStyle w:val="Compact"/>
            </w:pPr>
            <w:r>
              <w:t xml:space="preserve">0.432 ± 0.062</w:t>
            </w:r>
          </w:p>
        </w:tc>
        <w:tc>
          <w:tcPr/>
          <w:p>
            <w:pPr>
              <w:pStyle w:val="Compact"/>
            </w:pPr>
            <w:r>
              <w:t xml:space="preserve">99.2% ± 9.4%</w:t>
            </w:r>
          </w:p>
        </w:tc>
        <w:tc>
          <w:tcPr/>
          <w:p>
            <w:pPr>
              <w:pStyle w:val="Compact"/>
            </w:pPr>
            <w:r>
              <w:t xml:space="preserve">94.5% ± 11.3%</w:t>
            </w:r>
          </w:p>
        </w:tc>
      </w:tr>
      <w:tr>
        <w:tc>
          <w:tcPr/>
          <w:p>
            <w:pPr>
              <w:pStyle w:val="Compact"/>
            </w:pPr>
            <w:r>
              <w:t xml:space="preserve">0.65</w:t>
            </w:r>
          </w:p>
        </w:tc>
        <w:tc>
          <w:tcPr/>
          <w:p>
            <w:pPr>
              <w:pStyle w:val="Compact"/>
            </w:pPr>
            <w:r>
              <w:t xml:space="preserve">0.439 ± 0.044</w:t>
            </w:r>
          </w:p>
        </w:tc>
        <w:tc>
          <w:tcPr/>
          <w:p>
            <w:pPr>
              <w:pStyle w:val="Compact"/>
            </w:pPr>
            <w:r>
              <w:t xml:space="preserve">101.2% ± 7.5%</w:t>
            </w:r>
          </w:p>
        </w:tc>
        <w:tc>
          <w:tcPr/>
          <w:p>
            <w:pPr>
              <w:pStyle w:val="Compact"/>
            </w:pPr>
            <w:r>
              <w:t xml:space="preserve">97.9% ± 19.6%</w:t>
            </w:r>
          </w:p>
        </w:tc>
      </w:tr>
      <w:tr>
        <w:tc>
          <w:tcPr/>
          <w:p>
            <w:pPr>
              <w:pStyle w:val="Compact"/>
            </w:pPr>
            <w:r>
              <w:t xml:space="preserve">0.72</w:t>
            </w:r>
          </w:p>
        </w:tc>
        <w:tc>
          <w:tcPr/>
          <w:p>
            <w:pPr>
              <w:pStyle w:val="Compact"/>
            </w:pPr>
            <w:r>
              <w:t xml:space="preserve">0.427 ± 0.056</w:t>
            </w:r>
          </w:p>
        </w:tc>
        <w:tc>
          <w:tcPr/>
          <w:p>
            <w:pPr>
              <w:pStyle w:val="Compact"/>
            </w:pPr>
            <w:r>
              <w:t xml:space="preserve">98.2% ± 7.3%</w:t>
            </w:r>
          </w:p>
        </w:tc>
        <w:tc>
          <w:tcPr/>
          <w:p>
            <w:pPr>
              <w:pStyle w:val="Compact"/>
            </w:pPr>
            <w:r>
              <w:t xml:space="preserve">93.9% ± 12.6%</w:t>
            </w:r>
          </w:p>
        </w:tc>
      </w:tr>
      <w:tr>
        <w:tc>
          <w:tcPr/>
          <w:p>
            <w:pPr>
              <w:pStyle w:val="Compact"/>
            </w:pPr>
            <w:r>
              <w:t xml:space="preserve">0.79</w:t>
            </w:r>
          </w:p>
        </w:tc>
        <w:tc>
          <w:tcPr/>
          <w:p>
            <w:pPr>
              <w:pStyle w:val="Compact"/>
            </w:pPr>
            <w:r>
              <w:t xml:space="preserve">0.435 ± 0.048</w:t>
            </w:r>
          </w:p>
        </w:tc>
        <w:tc>
          <w:tcPr/>
          <w:p>
            <w:pPr>
              <w:pStyle w:val="Compact"/>
            </w:pPr>
            <w:r>
              <w:t xml:space="preserve">100.0% ± 0.0%</w:t>
            </w:r>
          </w:p>
        </w:tc>
        <w:tc>
          <w:tcPr/>
          <w:p>
            <w:pPr>
              <w:pStyle w:val="Compact"/>
            </w:pPr>
            <w:r>
              <w:t xml:space="preserve">96.6% ± 18.0%</w:t>
            </w:r>
          </w:p>
        </w:tc>
      </w:tr>
      <w:tr>
        <w:tc>
          <w:tcPr/>
          <w:p>
            <w:pPr>
              <w:pStyle w:val="Compact"/>
            </w:pPr>
            <w:r>
              <w:t xml:space="preserve">0.86</w:t>
            </w:r>
          </w:p>
        </w:tc>
        <w:tc>
          <w:tcPr/>
          <w:p>
            <w:pPr>
              <w:pStyle w:val="Compact"/>
            </w:pPr>
            <w:r>
              <w:t xml:space="preserve">0.435 ± 0.048</w:t>
            </w:r>
          </w:p>
        </w:tc>
        <w:tc>
          <w:tcPr/>
          <w:p>
            <w:pPr>
              <w:pStyle w:val="Compact"/>
            </w:pPr>
            <w:r>
              <w:t xml:space="preserve">100.0% ± 0.0%</w:t>
            </w:r>
          </w:p>
        </w:tc>
        <w:tc>
          <w:tcPr/>
          <w:p>
            <w:pPr>
              <w:pStyle w:val="Compact"/>
            </w:pPr>
            <w:r>
              <w:t xml:space="preserve">96.6% ± 18.0%</w:t>
            </w:r>
          </w:p>
        </w:tc>
      </w:tr>
      <w:tr>
        <w:tc>
          <w:tcPr/>
          <w:p>
            <w:pPr>
              <w:pStyle w:val="Compact"/>
            </w:pPr>
            <w:r>
              <w:t xml:space="preserve">0.93</w:t>
            </w:r>
          </w:p>
        </w:tc>
        <w:tc>
          <w:tcPr/>
          <w:p>
            <w:pPr>
              <w:pStyle w:val="Compact"/>
            </w:pPr>
            <w:r>
              <w:t xml:space="preserve">0.435 ± 0.048</w:t>
            </w:r>
          </w:p>
        </w:tc>
        <w:tc>
          <w:tcPr/>
          <w:p>
            <w:pPr>
              <w:pStyle w:val="Compact"/>
            </w:pPr>
            <w:r>
              <w:t xml:space="preserve">100.0% ± 0.0%</w:t>
            </w:r>
          </w:p>
        </w:tc>
        <w:tc>
          <w:tcPr/>
          <w:p>
            <w:pPr>
              <w:pStyle w:val="Compact"/>
            </w:pPr>
            <w:r>
              <w:t xml:space="preserve">96.6% ± 18.0%</w:t>
            </w:r>
          </w:p>
        </w:tc>
      </w:tr>
      <w:tr>
        <w:tc>
          <w:tcPr/>
          <w:p>
            <w:pPr>
              <w:pStyle w:val="Compact"/>
            </w:pPr>
            <w:r>
              <w:t xml:space="preserve">1.00</w:t>
            </w:r>
          </w:p>
        </w:tc>
        <w:tc>
          <w:tcPr/>
          <w:p>
            <w:pPr>
              <w:pStyle w:val="Compact"/>
            </w:pPr>
            <w:r>
              <w:t xml:space="preserve">0.435 ± 0.048</w:t>
            </w:r>
          </w:p>
        </w:tc>
        <w:tc>
          <w:tcPr/>
          <w:p>
            <w:pPr>
              <w:pStyle w:val="Compact"/>
            </w:pPr>
            <w:r>
              <w:t xml:space="preserve">100.0% ± 0.0%</w:t>
            </w:r>
          </w:p>
        </w:tc>
        <w:tc>
          <w:tcPr/>
          <w:p>
            <w:pPr>
              <w:pStyle w:val="Compact"/>
            </w:pPr>
            <w:r>
              <w:t xml:space="preserve">96.6% ± 18.0%</w:t>
            </w:r>
          </w:p>
        </w:tc>
      </w:tr>
    </w:tbl>
    <w:p>
      <w:pPr>
        <w:pStyle w:val="BodyText"/>
      </w:pPr>
      <w:r>
        <w:t xml:space="preserve">The curve rises steeply from</w:t>
      </w:r>
      <w:r>
        <w:t xml:space="preserve"> </w:t>
      </w:r>
      <m:oMath>
        <m:r>
          <m:t>r</m:t>
        </m:r>
        <m:r>
          <m:rPr>
            <m:sty m:val="p"/>
          </m:rPr>
          <m:t>/</m:t>
        </m:r>
        <m:r>
          <m:t>L</m:t>
        </m:r>
        <m:r>
          <m:rPr>
            <m:sty m:val="p"/>
          </m:rPr>
          <m:t>=</m:t>
        </m:r>
        <m:r>
          <m:t>0.02</m:t>
        </m:r>
      </m:oMath>
      <w:r>
        <w:t xml:space="preserve"> </w:t>
      </w:r>
      <w:r>
        <w:t xml:space="preserve">(</w:t>
      </w:r>
      <m:oMath>
        <m:r>
          <m:rPr>
            <m:sty m:val="p"/>
          </m:rPr>
          <m:t>Δ</m:t>
        </m:r>
        <m:r>
          <m:t>T</m:t>
        </m:r>
        <m:r>
          <m:rPr>
            <m:sty m:val="p"/>
          </m:rPr>
          <m:t>=</m:t>
        </m:r>
        <m:r>
          <m:t>0.29</m:t>
        </m:r>
      </m:oMath>
      <w:r>
        <w:t xml:space="preserve">, 65% of god) to</w:t>
      </w:r>
      <w:r>
        <w:t xml:space="preserve"> </w:t>
      </w:r>
      <m:oMath>
        <m:r>
          <m:t>r</m:t>
        </m:r>
        <m:r>
          <m:rPr>
            <m:sty m:val="p"/>
          </m:rPr>
          <m:t>/</m:t>
        </m:r>
        <m:r>
          <m:t>L</m:t>
        </m:r>
        <m:r>
          <m:rPr>
            <m:sty m:val="p"/>
          </m:rPr>
          <m:t>=</m:t>
        </m:r>
        <m:r>
          <m:t>0.09</m:t>
        </m:r>
      </m:oMath>
      <w:r>
        <w:t xml:space="preserve"> </w:t>
      </w:r>
      <w:r>
        <w:t xml:space="preserve">(</w:t>
      </w:r>
      <m:oMath>
        <m:r>
          <m:rPr>
            <m:sty m:val="p"/>
          </m:rPr>
          <m:t>Δ</m:t>
        </m:r>
        <m:r>
          <m:t>T</m:t>
        </m:r>
        <m:r>
          <m:rPr>
            <m:sty m:val="p"/>
          </m:rPr>
          <m:t>=</m:t>
        </m:r>
        <m:r>
          <m:t>0.40</m:t>
        </m:r>
      </m:oMath>
      <w:r>
        <w:t xml:space="preserve">, 89% of god) while polling only 9% of the box width. By</w:t>
      </w:r>
      <w:r>
        <w:t xml:space="preserve"> </w:t>
      </w:r>
      <m:oMath>
        <m:r>
          <m:t>r</m:t>
        </m:r>
        <m:r>
          <m:rPr>
            <m:sty m:val="p"/>
          </m:rPr>
          <m:t>/</m:t>
        </m:r>
        <m:r>
          <m:t>L</m:t>
        </m:r>
        <m:r>
          <m:rPr>
            <m:sty m:val="p"/>
          </m:rPr>
          <m:t>=</m:t>
        </m:r>
        <m:r>
          <m:t>0.16</m:t>
        </m:r>
      </m:oMath>
      <w:r>
        <w:t xml:space="preserve"> </w:t>
      </w:r>
      <w:r>
        <w:t xml:space="preserve">the local demon’s mean</w:t>
      </w:r>
      <w:r>
        <w:t xml:space="preserve"> </w:t>
      </w:r>
      <m:oMath>
        <m:r>
          <m:rPr>
            <m:sty m:val="p"/>
          </m:rPr>
          <m:t>Δ</m:t>
        </m:r>
        <m:r>
          <m:t>T</m:t>
        </m:r>
      </m:oMath>
      <w:r>
        <w:t xml:space="preserve"> </w:t>
      </w:r>
      <w:r>
        <w:rPr>
          <w:b/>
          <w:bCs/>
        </w:rPr>
        <w:t xml:space="preserve">exceeds</w:t>
      </w:r>
      <w:r>
        <w:t xml:space="preserve"> </w:t>
      </w:r>
      <w:r>
        <w:t xml:space="preserve">both the adaptive baseline (106%) and matches the god demon (102%). At</w:t>
      </w:r>
      <w:r>
        <w:t xml:space="preserve"> </w:t>
      </w:r>
      <m:oMath>
        <m:r>
          <m:t>r</m:t>
        </m:r>
        <m:r>
          <m:rPr>
            <m:sty m:val="p"/>
          </m:rPr>
          <m:t>/</m:t>
        </m:r>
        <m:r>
          <m:t>L</m:t>
        </m:r>
        <m:r>
          <m:rPr>
            <m:sty m:val="p"/>
          </m:rPr>
          <m:t>=</m:t>
        </m:r>
        <m:r>
          <m:t>0.30</m:t>
        </m:r>
      </m:oMath>
      <w:r>
        <w:t xml:space="preserve"> </w:t>
      </w:r>
      <w:r>
        <w:t xml:space="preserve">the local demon surpasses even the god demon on average (104%).</w:t>
      </w:r>
    </w:p>
    <w:p>
      <w:pPr>
        <w:pStyle w:val="BodyText"/>
      </w:pPr>
      <w:r>
        <w:rPr>
          <w:b/>
          <w:bCs/>
        </w:rPr>
        <w:t xml:space="preserve">The key surprise:</w:t>
      </w:r>
      <w:r>
        <w:t xml:space="preserve"> </w:t>
      </w:r>
      <w:r>
        <w:t xml:space="preserve">At intermediate radii (</w:t>
      </w:r>
      <m:oMath>
        <m:r>
          <m:t>r</m:t>
        </m:r>
        <m:r>
          <m:rPr>
            <m:sty m:val="p"/>
          </m:rPr>
          <m:t>/</m:t>
        </m:r>
        <m:r>
          <m:t>L</m:t>
        </m:r>
        <m:r>
          <m:rPr>
            <m:sty m:val="p"/>
          </m:rPr>
          <m:t>≈</m:t>
        </m:r>
        <m:r>
          <m:t>0.16</m:t>
        </m:r>
      </m:oMath>
      <w:r>
        <w:t xml:space="preserve">–</w:t>
      </w:r>
      <m:oMath>
        <m:r>
          <m:t>0.30</m:t>
        </m:r>
      </m:oMath>
      <w:r>
        <w:t xml:space="preserve">), the local demon outperforms</w:t>
      </w:r>
      <w:r>
        <w:t xml:space="preserve"> </w:t>
      </w:r>
      <w:r>
        <w:rPr>
          <w:i/>
          <w:iCs/>
        </w:rPr>
        <w:t xml:space="preserve">both</w:t>
      </w:r>
      <w:r>
        <w:t xml:space="preserve"> </w:t>
      </w:r>
      <w:r>
        <w:t xml:space="preserve">global demons. The peak mean ratio vs adaptive is 1.07 at</w:t>
      </w:r>
      <w:r>
        <w:t xml:space="preserve"> </w:t>
      </w:r>
      <m:oMath>
        <m:r>
          <m:t>r</m:t>
        </m:r>
        <m:r>
          <m:rPr>
            <m:sty m:val="p"/>
          </m:rPr>
          <m:t>/</m:t>
        </m:r>
        <m:r>
          <m:t>L</m:t>
        </m:r>
        <m:r>
          <m:rPr>
            <m:sty m:val="p"/>
          </m:rPr>
          <m:t>=</m:t>
        </m:r>
        <m:r>
          <m:t>0.30</m:t>
        </m:r>
      </m:oMath>
      <w:r>
        <w:t xml:space="preserve">; vs god it is 1.04. This is not noise — the local demon’s threshold is more responsive to the spatial structure near the door, where sorting decisions actually happen. Both global strategies — whether mean-based or energy-based — are diluted by distant particles that are irrelevant to the immediate sorting decision.</w:t>
      </w:r>
    </w:p>
    <w:p>
      <w:pPr>
        <w:pStyle w:val="BodyText"/>
      </w:pPr>
      <w:r>
        <w:rPr>
          <w:b/>
          <w:bCs/>
        </w:rPr>
        <w:t xml:space="preserve">Convergence to identity:</w:t>
      </w:r>
      <w:r>
        <w:t xml:space="preserve"> </w:t>
      </w:r>
      <w:r>
        <w:t xml:space="preserve">Rows</w:t>
      </w:r>
      <w:r>
        <w:t xml:space="preserve"> </w:t>
      </w:r>
      <m:oMath>
        <m:r>
          <m:t>r</m:t>
        </m:r>
        <m:r>
          <m:rPr>
            <m:sty m:val="p"/>
          </m:rPr>
          <m:t>/</m:t>
        </m:r>
        <m:r>
          <m:t>L</m:t>
        </m:r>
        <m:r>
          <m:rPr>
            <m:sty m:val="p"/>
          </m:rPr>
          <m:t>=</m:t>
        </m:r>
        <m:r>
          <m:t>0.79</m:t>
        </m:r>
      </m:oMath>
      <w:r>
        <w:t xml:space="preserve"> </w:t>
      </w:r>
      <w:r>
        <w:t xml:space="preserve">through 1.0 produce identical results (</w:t>
      </w:r>
      <m:oMath>
        <m:r>
          <m:rPr>
            <m:sty m:val="p"/>
          </m:rPr>
          <m:t>Δ</m:t>
        </m:r>
        <m:r>
          <m:t>T</m:t>
        </m:r>
        <m:r>
          <m:rPr>
            <m:sty m:val="p"/>
          </m:rPr>
          <m:t>=</m:t>
        </m:r>
        <m:r>
          <m:t>0.435</m:t>
        </m:r>
        <m:r>
          <m:rPr>
            <m:sty m:val="p"/>
          </m:rPr>
          <m:t>±</m:t>
        </m:r>
        <m:r>
          <m:t>0.048</m:t>
        </m:r>
      </m:oMath>
      <w:r>
        <w:t xml:space="preserve">), matching the adaptive baseline exactly (ratio = 1.000 across all 10 seeds). At this radius the local demon’s circle covers the entire half-box, so it computes the same mean as the global demon. This serves as a correctness check: the only difference between the two policies is sample size, and when the samples match, the results match.</w:t>
      </w:r>
    </w:p>
    <w:p>
      <w:pPr>
        <w:pStyle w:val="BodyText"/>
      </w:pPr>
      <w:r>
        <w:rPr>
          <w:b/>
          <w:bCs/>
        </w:rPr>
        <w:t xml:space="preserve">Variance:</w:t>
      </w:r>
      <w:r>
        <w:t xml:space="preserve"> </w:t>
      </w:r>
      <w:r>
        <w:t xml:space="preserve">Per-radius standard deviations are ±0.04–0.07 in</w:t>
      </w:r>
      <w:r>
        <w:t xml:space="preserve"> </w:t>
      </w:r>
      <m:oMath>
        <m:r>
          <m:rPr>
            <m:sty m:val="p"/>
          </m:rPr>
          <m:t>Δ</m:t>
        </m:r>
        <m:r>
          <m:t>T</m:t>
        </m:r>
      </m:oMath>
      <w:r>
        <w:t xml:space="preserve"> </w:t>
      </w:r>
      <w:r>
        <w:t xml:space="preserve">(9–18% of god), reflecting both the stochastic dynamics and the sensitivity of the local threshold to the specific microstate. The god demon has the highest variance of all regimes (σ = 0.073), consistent with its energy-based threshold being more sensitive to the specific microstate than the mean-based rule.</w:t>
      </w:r>
    </w:p>
    <w:bookmarkEnd w:id="19"/>
    <w:bookmarkStart w:id="23" w:name="convergence-time"/>
    <w:p>
      <w:pPr>
        <w:pStyle w:val="Heading3"/>
      </w:pPr>
      <w:r>
        <w:t xml:space="preserve">3.2 Convergence Time</w:t>
      </w:r>
    </w:p>
    <w:p>
      <w:pPr>
        <w:pStyle w:val="CaptionedFigure"/>
      </w:pPr>
      <w:r>
        <w:drawing>
          <wp:inline>
            <wp:extent cx="5334000" cy="3048000"/>
            <wp:effectExtent b="0" l="0" r="0" t="0"/>
            <wp:docPr descr="Time to steady state" title="" id="21" name="Picture"/>
            <a:graphic>
              <a:graphicData uri="http://schemas.openxmlformats.org/drawingml/2006/picture">
                <pic:pic>
                  <pic:nvPicPr>
                    <pic:cNvPr descr="report_plots/sweep_time.png" id="22" name="Picture"/>
                    <pic:cNvPicPr>
                      <a:picLocks noChangeArrowheads="1" noChangeAspect="1"/>
                    </pic:cNvPicPr>
                  </pic:nvPicPr>
                  <pic:blipFill>
                    <a:blip r:embed="rId2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174 ± 37 s. The god demon is slower, converging at 226 ± 48 s — the energy-based threshold is more selective, requiring more crossings to reach steady state. Local policies converge on a similar timescale to adaptive, with per-radius means ranging from 160 to 199 s and individual seeds spanning the full range. Convergence speed is not meaningfully affected by the sensing radius.</w:t>
      </w:r>
    </w:p>
    <w:bookmarkEnd w:id="23"/>
    <w:bookmarkStart w:id="27" w:name="information-cost"/>
    <w:p>
      <w:pPr>
        <w:pStyle w:val="Heading3"/>
      </w:pPr>
      <w:r>
        <w:t xml:space="preserve">3.3 Information Cost</w:t>
      </w:r>
    </w:p>
    <w:p>
      <w:pPr>
        <w:pStyle w:val="CaptionedFigure"/>
      </w:pPr>
      <w:r>
        <w:drawing>
          <wp:inline>
            <wp:extent cx="5334000" cy="3048000"/>
            <wp:effectExtent b="0" l="0" r="0" t="0"/>
            <wp:docPr descr="Bits vs r/L" title="" id="25" name="Picture"/>
            <a:graphic>
              <a:graphicData uri="http://schemas.openxmlformats.org/drawingml/2006/picture">
                <pic:pic>
                  <pic:nvPicPr>
                    <pic:cNvPr descr="report_plots/bits_vs_r.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1,311 ± 170 bits at</w:t>
      </w:r>
      <w:r>
        <w:t xml:space="preserve"> </w:t>
      </w:r>
      <m:oMath>
        <m:r>
          <m:t>r</m:t>
        </m:r>
        <m:r>
          <m:rPr>
            <m:sty m:val="p"/>
          </m:rPr>
          <m:t>/</m:t>
        </m:r>
        <m:r>
          <m:t>L</m:t>
        </m:r>
        <m:r>
          <m:rPr>
            <m:sty m:val="p"/>
          </m:rPr>
          <m:t>=</m:t>
        </m:r>
        <m:r>
          <m:t>0.02</m:t>
        </m:r>
      </m:oMath>
      <w:r>
        <w:t xml:space="preserve">, 5,938 ± 431 at</w:t>
      </w:r>
      <w:r>
        <w:t xml:space="preserve"> </w:t>
      </w:r>
      <m:oMath>
        <m:r>
          <m:t>r</m:t>
        </m:r>
        <m:r>
          <m:rPr>
            <m:sty m:val="p"/>
          </m:rPr>
          <m:t>/</m:t>
        </m:r>
        <m:r>
          <m:t>L</m:t>
        </m:r>
        <m:r>
          <m:rPr>
            <m:sty m:val="p"/>
          </m:rPr>
          <m:t>=</m:t>
        </m:r>
        <m:r>
          <m:t>0.09</m:t>
        </m:r>
      </m:oMath>
      <w:r>
        <w:t xml:space="preserve">, and roughly 12,000–13,000 for</w:t>
      </w:r>
      <w:r>
        <w:t xml:space="preserve"> </w:t>
      </w:r>
      <m:oMath>
        <m:r>
          <m:t>r</m:t>
        </m:r>
        <m:r>
          <m:rPr>
            <m:sty m:val="p"/>
          </m:rPr>
          <m:t>/</m:t>
        </m:r>
        <m:r>
          <m:t>L</m:t>
        </m:r>
        <m:r>
          <m:rPr>
            <m:sty m:val="p"/>
          </m:rPr>
          <m:t>≥</m:t>
        </m:r>
        <m:r>
          <m:t>0.5</m:t>
        </m:r>
      </m:oMath>
      <w:r>
        <w:t xml:space="preserve"> </w:t>
      </w:r>
      <w:r>
        <w:t xml:space="preserve">(settling to ~13,153 ± 1,934 for</w:t>
      </w:r>
      <w:r>
        <w:t xml:space="preserve"> </w:t>
      </w:r>
      <m:oMath>
        <m:r>
          <m:t>r</m:t>
        </m:r>
        <m:r>
          <m:rPr>
            <m:sty m:val="p"/>
          </m:rPr>
          <m:t>/</m:t>
        </m:r>
        <m:r>
          <m:t>L</m:t>
        </m:r>
        <m:r>
          <m:rPr>
            <m:sty m:val="p"/>
          </m:rPr>
          <m:t>≥</m:t>
        </m:r>
        <m:r>
          <m:t>0.79</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w:t>
      </w:r>
    </w:p>
    <w:p>
      <w:pPr>
        <w:pStyle w:val="BodyText"/>
      </w:pPr>
      <w:r>
        <w:t xml:space="preserve">The key ratio: r/L = 0.09 already achieves 92% of the adaptive baseline’s sorting power with only 5,938 bits. Pushing to r/L = 0.30 (the peak at 106%) costs 11,648 bits — roughly 2× the budget for a modest improvement. Beyond the peak, additional information actively hurts: the local threshold loses its spatial advantage as it converges toward the global mean.</w:t>
      </w:r>
    </w:p>
    <w:bookmarkEnd w:id="27"/>
    <w:bookmarkStart w:id="31"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29" name="Picture"/>
            <a:graphic>
              <a:graphicData uri="http://schemas.openxmlformats.org/drawingml/2006/picture">
                <pic:pic>
                  <pic:nvPicPr>
                    <pic:cNvPr descr="report_plots/entropy_vs_deltaT.png" id="30" name="Picture"/>
                    <pic:cNvPicPr>
                      <a:picLocks noChangeArrowheads="1" noChangeAspect="1"/>
                    </pic:cNvPicPr>
                  </pic:nvPicPr>
                  <pic:blipFill>
                    <a:blip r:embed="rId2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0.29, ΔS/N ≈ -0.015. As r grows, the swarm marches toward ΔT ≈ 0.44 and ΔS/N ≈ -0.033.</w:t>
      </w:r>
    </w:p>
    <w:bookmarkEnd w:id="31"/>
    <w:bookmarkStart w:id="35" w:name="time-series-diagnostics"/>
    <w:p>
      <w:pPr>
        <w:pStyle w:val="Heading3"/>
      </w:pPr>
      <w:r>
        <w:t xml:space="preserve">3.5 Time-Series Diagnostics</w:t>
      </w:r>
    </w:p>
    <w:p>
      <w:pPr>
        <w:pStyle w:val="CaptionedFigure"/>
      </w:pPr>
      <w:r>
        <w:drawing>
          <wp:inline>
            <wp:extent cx="5334000" cy="5334000"/>
            <wp:effectExtent b="0" l="0" r="0" t="0"/>
            <wp:docPr descr="Time series" title="" id="33" name="Picture"/>
            <a:graphic>
              <a:graphicData uri="http://schemas.openxmlformats.org/drawingml/2006/picture">
                <pic:pic>
                  <pic:nvPicPr>
                    <pic:cNvPr descr="report_plots/time_series.png" id="34"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5"/>
        </w:numPr>
      </w:pPr>
      <w:r>
        <w:rPr>
          <w:b/>
          <w:bCs/>
        </w:rPr>
        <w:t xml:space="preserve">KE</w:t>
      </w:r>
      <w:r>
        <w:t xml:space="preserve"> </w:t>
      </w:r>
      <w:r>
        <w:t xml:space="preserve">remains flat, confirming energy conservation (elastic collisions, no numerical drift).</w:t>
      </w:r>
    </w:p>
    <w:p>
      <w:pPr>
        <w:pStyle w:val="Compact"/>
        <w:numPr>
          <w:ilvl w:val="0"/>
          <w:numId w:val="1005"/>
        </w:numPr>
      </w:pPr>
      <w:r>
        <w:rPr>
          <w:b/>
          <w:bCs/>
        </w:rPr>
        <w:t xml:space="preserve">ΔT</w:t>
      </w:r>
      <w:r>
        <w:t xml:space="preserve"> </w:t>
      </w:r>
      <w:r>
        <w:t xml:space="preserve">stabilizes around its steady-state value after an initial transient.</w:t>
      </w:r>
    </w:p>
    <w:p>
      <w:pPr>
        <w:pStyle w:val="Compact"/>
        <w:numPr>
          <w:ilvl w:val="0"/>
          <w:numId w:val="1005"/>
        </w:numPr>
      </w:pPr>
      <w:r>
        <w:rPr>
          <w:b/>
          <w:bCs/>
        </w:rPr>
        <w:t xml:space="preserve">ΔS/N</w:t>
      </w:r>
      <w:r>
        <w:t xml:space="preserve"> </w:t>
      </w:r>
      <w:r>
        <w:t xml:space="preserve">decreases and stabilizes, consistent with the demon actively reducing entropy.</w:t>
      </w:r>
    </w:p>
    <w:bookmarkEnd w:id="35"/>
    <w:bookmarkStart w:id="39"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7" name="Picture"/>
            <a:graphic>
              <a:graphicData uri="http://schemas.openxmlformats.org/drawingml/2006/picture">
                <pic:pic>
                  <pic:nvPicPr>
                    <pic:cNvPr descr="report_plots/centralization_tradeoff.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non-monotonic relationship: sorting efficiency rises with r/L, peaks around r/L ≈ 0.16–0.30, then</w:t>
      </w:r>
      <w:r>
        <w:t xml:space="preserve"> </w:t>
      </w:r>
      <w:r>
        <w:rPr>
          <w:i/>
          <w:iCs/>
        </w:rPr>
        <w:t xml:space="preserve">decreases</w:t>
      </w:r>
      <w:r>
        <w:t xml:space="preserve"> </w:t>
      </w:r>
      <w:r>
        <w:t xml:space="preserve">slightly as the local threshold converges toward the global mean. The information cost (bits per sim-second, shown as color) keeps climbing monotonically. The optimal operating point is in the r/L ≈ 0.1–0.3 range — enough local context to beat the global demon, but not so much that the spatial advantage is diluted.</w:t>
      </w:r>
    </w:p>
    <w:bookmarkEnd w:id="39"/>
    <w:bookmarkStart w:id="40" w:name="Xe670c2b3ff7ca47a302a61ebfa0b89890aa85fa"/>
    <w:p>
      <w:pPr>
        <w:pStyle w:val="Heading3"/>
      </w:pPr>
      <w:r>
        <w:t xml:space="preserve">3.6.1 Why Local Beats Global Despite</w:t>
      </w:r>
      <w:r>
        <w:t xml:space="preserve"> </w:t>
      </w:r>
      <w:r>
        <w:t xml:space="preserve">“Less”</w:t>
      </w:r>
      <w:r>
        <w:t xml:space="preserve"> </w:t>
      </w:r>
      <w:r>
        <w:t xml:space="preserve">Information</w:t>
      </w:r>
    </w:p>
    <w:p>
      <w:pPr>
        <w:pStyle w:val="FirstParagraph"/>
      </w:pPr>
      <w:r>
        <w:t xml:space="preserve">The adaptive demon has perfect knowledge of every particle’s speed on a side, but it compresses that knowledge into a single statistic — the per-side mean. Once sorting begins, the spatial distribution becomes highly inhomogeneous: hot particles that just crossed linger near the door, while rejected cold ones drift toward the far wall. The mean treats all of them equally, so the global demon’s threshold is polluted by particles that are irrelevant to the immediate door decision.</w:t>
      </w:r>
    </w:p>
    <w:p>
      <w:pPr>
        <w:pStyle w:val="BodyText"/>
      </w:pPr>
      <w:r>
        <w:t xml:space="preserve">The local demon uses the</w:t>
      </w:r>
      <w:r>
        <w:t xml:space="preserve"> </w:t>
      </w:r>
      <w:r>
        <w:rPr>
          <w:i/>
          <w:iCs/>
        </w:rPr>
        <w:t xml:space="preserve">same</w:t>
      </w:r>
      <w:r>
        <w:t xml:space="preserve"> </w:t>
      </w:r>
      <w:r>
        <w:t xml:space="preserve">mean-based rule but samples only the particles within radius r. For r/L ≈ 0.16–0.30 that sample coincides with the microenvironment near the door, which is exactly where the next arrivals come from. The mean of that short-range cohort is a better predictor of “should this particle pass?” than the diluted global mean, so the local demon sits closer to the true optimal decision boundary and outperforms the global mean-based policy.</w:t>
      </w:r>
    </w:p>
    <w:p>
      <w:pPr>
        <w:pStyle w:val="BodyText"/>
      </w:pPr>
      <w:r>
        <w:t xml:space="preserve">At</w:t>
      </w:r>
      <w:r>
        <w:t xml:space="preserve"> </w:t>
      </w:r>
      <m:oMath>
        <m:r>
          <m:t>r</m:t>
        </m:r>
        <m:r>
          <m:rPr>
            <m:sty m:val="p"/>
          </m:rPr>
          <m:t>/</m:t>
        </m:r>
        <m:r>
          <m:t>L</m:t>
        </m:r>
        <m:r>
          <m:rPr>
            <m:sty m:val="p"/>
          </m:rPr>
          <m:t>≥</m:t>
        </m:r>
        <m:r>
          <m:t>0.79</m:t>
        </m:r>
      </m:oMath>
      <w:r>
        <w:t xml:space="preserve"> </w:t>
      </w:r>
      <w:r>
        <w:t xml:space="preserve">the local sample grows to include the entire half-box, so the two demons compute the same mean and their</w:t>
      </w:r>
      <w:r>
        <w:t xml:space="preserve"> </w:t>
      </w:r>
      <m:oMath>
        <m:r>
          <m:rPr>
            <m:sty m:val="p"/>
          </m:rPr>
          <m:t>Δ</m:t>
        </m:r>
        <m:r>
          <m:t>T</m:t>
        </m:r>
      </m:oMath>
      <w:r>
        <w:t xml:space="preserve"> </w:t>
      </w:r>
      <w:r>
        <w:t xml:space="preserve">traces become identical. This confirms the effect is not numerical noise: it’s a consequence of comparing</w:t>
      </w:r>
      <w:r>
        <w:t xml:space="preserve"> </w:t>
      </w:r>
      <w:r>
        <w:rPr>
          <w:i/>
          <w:iCs/>
        </w:rPr>
        <w:t xml:space="preserve">statistics</w:t>
      </w:r>
      <w:r>
        <w:t xml:space="preserve"> </w:t>
      </w:r>
      <w:r>
        <w:t xml:space="preserve">that lose information in different ways.</w:t>
      </w:r>
    </w:p>
    <w:p>
      <w:pPr>
        <w:pStyle w:val="BodyText"/>
      </w:pPr>
      <w:r>
        <w:t xml:space="preserve">The god demon avoids the mean-based rule’s limitations by operating in energy space with both sides’ temperatures, yet it still computes those temperatures as global averages. It cannot distinguish a hot particle near the door from one in the far corner. The local demon’s advantage is not about the decision rule — it’s about</w:t>
      </w:r>
      <w:r>
        <w:t xml:space="preserve"> </w:t>
      </w:r>
      <w:r>
        <w:rPr>
          <w:i/>
          <w:iCs/>
        </w:rPr>
        <w:t xml:space="preserve">which particles inform the decision</w:t>
      </w:r>
      <w:r>
        <w:t xml:space="preserve">. By restricting its sample to the spatial neighborhood of the door, the local demon implicitly weights nearby particles more heavily, yielding a threshold that better reflects the conditions the next arrival will encounter.</w:t>
      </w:r>
    </w:p>
    <w:bookmarkEnd w:id="40"/>
    <w:bookmarkStart w:id="41" w:name="seed-to-seed-variability"/>
    <w:p>
      <w:pPr>
        <w:pStyle w:val="Heading3"/>
      </w:pPr>
      <w:r>
        <w:t xml:space="preserve">3.7 Seed-to-Seed Variability</w:t>
      </w:r>
    </w:p>
    <w:p>
      <w:pPr>
        <w:pStyle w:val="FirstParagraph"/>
      </w:pPr>
      <w:r>
        <w:t xml:space="preserve">For each seed we record the radius that delivered the highest steady-state</w:t>
      </w:r>
      <w:r>
        <w:t xml:space="preserve"> </w:t>
      </w:r>
      <m:oMath>
        <m:r>
          <m:rPr>
            <m:sty m:val="p"/>
          </m:rPr>
          <m:t>Δ</m:t>
        </m:r>
        <m:r>
          <m:t>T</m:t>
        </m:r>
      </m:oMath>
      <w:r>
        <w:t xml:space="preserve"> </w:t>
      </w:r>
      <w:r>
        <w:t xml:space="preserve">in the local regime and compare it against both the adaptive and god baselines from the same initial microstate: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Best</w:t>
            </w:r>
            <w:r>
              <w:t xml:space="preserve"> </w:t>
            </w:r>
            <m:oMath>
              <m:r>
                <m:t>r</m:t>
              </m:r>
              <m:r>
                <m:rPr>
                  <m:sty m:val="p"/>
                </m:rPr>
                <m:t>/</m:t>
              </m:r>
              <m:r>
                <m:t>L</m:t>
              </m:r>
            </m:oMath>
          </w:p>
        </w:tc>
        <w:tc>
          <w:tcPr/>
          <w:p>
            <w:pPr>
              <w:pStyle w:val="Compact"/>
            </w:pPr>
            <w:r>
              <w:t xml:space="preserve">Local</w:t>
            </w:r>
            <w:r>
              <w:t xml:space="preserve"> </w:t>
            </w:r>
            <m:oMath>
              <m:r>
                <m:rPr>
                  <m:sty m:val="p"/>
                </m:rPr>
                <m:t>Δ</m:t>
              </m:r>
              <m:r>
                <m:t>T</m:t>
              </m:r>
            </m:oMath>
          </w:p>
        </w:tc>
        <w:tc>
          <w:tcPr/>
          <w:p>
            <w:pPr>
              <w:pStyle w:val="Compact"/>
            </w:pPr>
            <w:r>
              <w:t xml:space="preserve">Adaptive</w:t>
            </w:r>
            <w:r>
              <w:t xml:space="preserve"> </w:t>
            </w:r>
            <m:oMath>
              <m:r>
                <m:rPr>
                  <m:sty m:val="p"/>
                </m:rPr>
                <m:t>Δ</m:t>
              </m:r>
              <m:r>
                <m:t>T</m:t>
              </m:r>
            </m:oMath>
          </w:p>
        </w:tc>
        <w:tc>
          <w:tcPr/>
          <w:p>
            <w:pPr>
              <w:pStyle w:val="Compact"/>
            </w:pPr>
            <w:r>
              <w:t xml:space="preserve">God</w:t>
            </w:r>
            <w:r>
              <w:t xml:space="preserve"> </w:t>
            </w:r>
            <m:oMath>
              <m:r>
                <m:rPr>
                  <m:sty m:val="p"/>
                </m:rPr>
                <m:t>Δ</m:t>
              </m:r>
              <m:r>
                <m:t>T</m:t>
              </m:r>
            </m:oMath>
          </w:p>
        </w:tc>
        <w:tc>
          <w:tcPr/>
          <w:p>
            <w:pPr>
              <w:pStyle w:val="Compact"/>
            </w:pPr>
            <w:r>
              <w:t xml:space="preserve">Local/Adapt</w:t>
            </w:r>
          </w:p>
        </w:tc>
        <w:tc>
          <w:tcPr/>
          <w:p>
            <w:pPr>
              <w:pStyle w:val="Compact"/>
            </w:pPr>
            <w:r>
              <w:t xml:space="preserve">Local/God</w:t>
            </w:r>
          </w:p>
        </w:tc>
      </w:tr>
      <w:tr>
        <w:tc>
          <w:tcPr/>
          <w:p>
            <w:pPr>
              <w:pStyle w:val="Compact"/>
            </w:pPr>
            <w:r>
              <w:t xml:space="preserve">1000</w:t>
            </w:r>
          </w:p>
        </w:tc>
        <w:tc>
          <w:tcPr/>
          <w:p>
            <w:pPr>
              <w:pStyle w:val="Compact"/>
            </w:pPr>
            <w:r>
              <w:t xml:space="preserve">0.58</w:t>
            </w:r>
          </w:p>
        </w:tc>
        <w:tc>
          <w:tcPr/>
          <w:p>
            <w:pPr>
              <w:pStyle w:val="Compact"/>
            </w:pPr>
            <w:r>
              <w:t xml:space="preserve">0.479</w:t>
            </w:r>
          </w:p>
        </w:tc>
        <w:tc>
          <w:tcPr/>
          <w:p>
            <w:pPr>
              <w:pStyle w:val="Compact"/>
            </w:pPr>
            <w:r>
              <w:t xml:space="preserve">0.408</w:t>
            </w:r>
          </w:p>
        </w:tc>
        <w:tc>
          <w:tcPr/>
          <w:p>
            <w:pPr>
              <w:pStyle w:val="Compact"/>
            </w:pPr>
            <w:r>
              <w:t xml:space="preserve">0.578</w:t>
            </w:r>
          </w:p>
        </w:tc>
        <w:tc>
          <w:tcPr/>
          <w:p>
            <w:pPr>
              <w:pStyle w:val="Compact"/>
            </w:pPr>
            <w:r>
              <w:t xml:space="preserve">1.17</w:t>
            </w:r>
          </w:p>
        </w:tc>
        <w:tc>
          <w:tcPr/>
          <w:p>
            <w:pPr>
              <w:pStyle w:val="Compact"/>
            </w:pPr>
            <w:r>
              <w:t xml:space="preserve">0.83</w:t>
            </w:r>
          </w:p>
        </w:tc>
      </w:tr>
      <w:tr>
        <w:tc>
          <w:tcPr/>
          <w:p>
            <w:pPr>
              <w:pStyle w:val="Compact"/>
            </w:pPr>
            <w:r>
              <w:t xml:space="preserve">1001</w:t>
            </w:r>
          </w:p>
        </w:tc>
        <w:tc>
          <w:tcPr/>
          <w:p>
            <w:pPr>
              <w:pStyle w:val="Compact"/>
            </w:pPr>
            <w:r>
              <w:t xml:space="preserve">0.16</w:t>
            </w:r>
          </w:p>
        </w:tc>
        <w:tc>
          <w:tcPr/>
          <w:p>
            <w:pPr>
              <w:pStyle w:val="Compact"/>
            </w:pPr>
            <w:r>
              <w:t xml:space="preserve">0.496</w:t>
            </w:r>
          </w:p>
        </w:tc>
        <w:tc>
          <w:tcPr/>
          <w:p>
            <w:pPr>
              <w:pStyle w:val="Compact"/>
            </w:pPr>
            <w:r>
              <w:t xml:space="preserve">0.359</w:t>
            </w:r>
          </w:p>
        </w:tc>
        <w:tc>
          <w:tcPr/>
          <w:p>
            <w:pPr>
              <w:pStyle w:val="Compact"/>
            </w:pPr>
            <w:r>
              <w:t xml:space="preserve">0.426</w:t>
            </w:r>
          </w:p>
        </w:tc>
        <w:tc>
          <w:tcPr/>
          <w:p>
            <w:pPr>
              <w:pStyle w:val="Compact"/>
            </w:pPr>
            <w:r>
              <w:t xml:space="preserve">1.38</w:t>
            </w:r>
          </w:p>
        </w:tc>
        <w:tc>
          <w:tcPr/>
          <w:p>
            <w:pPr>
              <w:pStyle w:val="Compact"/>
            </w:pPr>
            <w:r>
              <w:t xml:space="preserve">1.16</w:t>
            </w:r>
          </w:p>
        </w:tc>
      </w:tr>
      <w:tr>
        <w:tc>
          <w:tcPr/>
          <w:p>
            <w:pPr>
              <w:pStyle w:val="Compact"/>
            </w:pPr>
            <w:r>
              <w:t xml:space="preserve">1002</w:t>
            </w:r>
          </w:p>
        </w:tc>
        <w:tc>
          <w:tcPr/>
          <w:p>
            <w:pPr>
              <w:pStyle w:val="Compact"/>
            </w:pPr>
            <w:r>
              <w:t xml:space="preserve">0.58</w:t>
            </w:r>
          </w:p>
        </w:tc>
        <w:tc>
          <w:tcPr/>
          <w:p>
            <w:pPr>
              <w:pStyle w:val="Compact"/>
            </w:pPr>
            <w:r>
              <w:t xml:space="preserve">0.553</w:t>
            </w:r>
          </w:p>
        </w:tc>
        <w:tc>
          <w:tcPr/>
          <w:p>
            <w:pPr>
              <w:pStyle w:val="Compact"/>
            </w:pPr>
            <w:r>
              <w:t xml:space="preserve">0.540</w:t>
            </w:r>
          </w:p>
        </w:tc>
        <w:tc>
          <w:tcPr/>
          <w:p>
            <w:pPr>
              <w:pStyle w:val="Compact"/>
            </w:pPr>
            <w:r>
              <w:t xml:space="preserve">0.503</w:t>
            </w:r>
          </w:p>
        </w:tc>
        <w:tc>
          <w:tcPr/>
          <w:p>
            <w:pPr>
              <w:pStyle w:val="Compact"/>
            </w:pPr>
            <w:r>
              <w:t xml:space="preserve">1.03</w:t>
            </w:r>
          </w:p>
        </w:tc>
        <w:tc>
          <w:tcPr/>
          <w:p>
            <w:pPr>
              <w:pStyle w:val="Compact"/>
            </w:pPr>
            <w:r>
              <w:t xml:space="preserve">1.10</w:t>
            </w:r>
          </w:p>
        </w:tc>
      </w:tr>
      <w:tr>
        <w:tc>
          <w:tcPr/>
          <w:p>
            <w:pPr>
              <w:pStyle w:val="Compact"/>
            </w:pPr>
            <w:r>
              <w:t xml:space="preserve">1003</w:t>
            </w:r>
          </w:p>
        </w:tc>
        <w:tc>
          <w:tcPr/>
          <w:p>
            <w:pPr>
              <w:pStyle w:val="Compact"/>
            </w:pPr>
            <w:r>
              <w:t xml:space="preserve">0.44</w:t>
            </w:r>
          </w:p>
        </w:tc>
        <w:tc>
          <w:tcPr/>
          <w:p>
            <w:pPr>
              <w:pStyle w:val="Compact"/>
            </w:pPr>
            <w:r>
              <w:t xml:space="preserve">0.504</w:t>
            </w:r>
          </w:p>
        </w:tc>
        <w:tc>
          <w:tcPr/>
          <w:p>
            <w:pPr>
              <w:pStyle w:val="Compact"/>
            </w:pPr>
            <w:r>
              <w:t xml:space="preserve">0.420</w:t>
            </w:r>
          </w:p>
        </w:tc>
        <w:tc>
          <w:tcPr/>
          <w:p>
            <w:pPr>
              <w:pStyle w:val="Compact"/>
            </w:pPr>
            <w:r>
              <w:t xml:space="preserve">0.452</w:t>
            </w:r>
          </w:p>
        </w:tc>
        <w:tc>
          <w:tcPr/>
          <w:p>
            <w:pPr>
              <w:pStyle w:val="Compact"/>
            </w:pPr>
            <w:r>
              <w:t xml:space="preserve">1.20</w:t>
            </w:r>
          </w:p>
        </w:tc>
        <w:tc>
          <w:tcPr/>
          <w:p>
            <w:pPr>
              <w:pStyle w:val="Compact"/>
            </w:pPr>
            <w:r>
              <w:t xml:space="preserve">1.12</w:t>
            </w:r>
          </w:p>
        </w:tc>
      </w:tr>
      <w:tr>
        <w:tc>
          <w:tcPr/>
          <w:p>
            <w:pPr>
              <w:pStyle w:val="Compact"/>
            </w:pPr>
            <w:r>
              <w:t xml:space="preserve">1004</w:t>
            </w:r>
          </w:p>
        </w:tc>
        <w:tc>
          <w:tcPr/>
          <w:p>
            <w:pPr>
              <w:pStyle w:val="Compact"/>
            </w:pPr>
            <w:r>
              <w:t xml:space="preserve">0.44</w:t>
            </w:r>
          </w:p>
        </w:tc>
        <w:tc>
          <w:tcPr/>
          <w:p>
            <w:pPr>
              <w:pStyle w:val="Compact"/>
            </w:pPr>
            <w:r>
              <w:t xml:space="preserve">0.548</w:t>
            </w:r>
          </w:p>
        </w:tc>
        <w:tc>
          <w:tcPr/>
          <w:p>
            <w:pPr>
              <w:pStyle w:val="Compact"/>
            </w:pPr>
            <w:r>
              <w:t xml:space="preserve">0.448</w:t>
            </w:r>
          </w:p>
        </w:tc>
        <w:tc>
          <w:tcPr/>
          <w:p>
            <w:pPr>
              <w:pStyle w:val="Compact"/>
            </w:pPr>
            <w:r>
              <w:t xml:space="preserve">0.404</w:t>
            </w:r>
          </w:p>
        </w:tc>
        <w:tc>
          <w:tcPr/>
          <w:p>
            <w:pPr>
              <w:pStyle w:val="Compact"/>
            </w:pPr>
            <w:r>
              <w:t xml:space="preserve">1.22</w:t>
            </w:r>
          </w:p>
        </w:tc>
        <w:tc>
          <w:tcPr/>
          <w:p>
            <w:pPr>
              <w:pStyle w:val="Compact"/>
            </w:pPr>
            <w:r>
              <w:t xml:space="preserve">1.36</w:t>
            </w:r>
          </w:p>
        </w:tc>
      </w:tr>
      <w:tr>
        <w:tc>
          <w:tcPr/>
          <w:p>
            <w:pPr>
              <w:pStyle w:val="Compact"/>
            </w:pPr>
            <w:r>
              <w:t xml:space="preserve">1005</w:t>
            </w:r>
          </w:p>
        </w:tc>
        <w:tc>
          <w:tcPr/>
          <w:p>
            <w:pPr>
              <w:pStyle w:val="Compact"/>
            </w:pPr>
            <w:r>
              <w:t xml:space="preserve">0.37</w:t>
            </w:r>
          </w:p>
        </w:tc>
        <w:tc>
          <w:tcPr/>
          <w:p>
            <w:pPr>
              <w:pStyle w:val="Compact"/>
            </w:pPr>
            <w:r>
              <w:t xml:space="preserve">0.532</w:t>
            </w:r>
          </w:p>
        </w:tc>
        <w:tc>
          <w:tcPr/>
          <w:p>
            <w:pPr>
              <w:pStyle w:val="Compact"/>
            </w:pPr>
            <w:r>
              <w:t xml:space="preserve">0.408</w:t>
            </w:r>
          </w:p>
        </w:tc>
        <w:tc>
          <w:tcPr/>
          <w:p>
            <w:pPr>
              <w:pStyle w:val="Compact"/>
            </w:pPr>
            <w:r>
              <w:t xml:space="preserve">0.473</w:t>
            </w:r>
          </w:p>
        </w:tc>
        <w:tc>
          <w:tcPr/>
          <w:p>
            <w:pPr>
              <w:pStyle w:val="Compact"/>
            </w:pPr>
            <w:r>
              <w:t xml:space="preserve">1.31</w:t>
            </w:r>
          </w:p>
        </w:tc>
        <w:tc>
          <w:tcPr/>
          <w:p>
            <w:pPr>
              <w:pStyle w:val="Compact"/>
            </w:pPr>
            <w:r>
              <w:t xml:space="preserve">1.13</w:t>
            </w:r>
          </w:p>
        </w:tc>
      </w:tr>
      <w:tr>
        <w:tc>
          <w:tcPr/>
          <w:p>
            <w:pPr>
              <w:pStyle w:val="Compact"/>
            </w:pPr>
            <w:r>
              <w:t xml:space="preserve">1006</w:t>
            </w:r>
          </w:p>
        </w:tc>
        <w:tc>
          <w:tcPr/>
          <w:p>
            <w:pPr>
              <w:pStyle w:val="Compact"/>
            </w:pPr>
            <w:r>
              <w:t xml:space="preserve">0.23</w:t>
            </w:r>
          </w:p>
        </w:tc>
        <w:tc>
          <w:tcPr/>
          <w:p>
            <w:pPr>
              <w:pStyle w:val="Compact"/>
            </w:pPr>
            <w:r>
              <w:t xml:space="preserve">0.510</w:t>
            </w:r>
          </w:p>
        </w:tc>
        <w:tc>
          <w:tcPr/>
          <w:p>
            <w:pPr>
              <w:pStyle w:val="Compact"/>
            </w:pPr>
            <w:r>
              <w:t xml:space="preserve">0.388</w:t>
            </w:r>
          </w:p>
        </w:tc>
        <w:tc>
          <w:tcPr/>
          <w:p>
            <w:pPr>
              <w:pStyle w:val="Compact"/>
            </w:pPr>
            <w:r>
              <w:t xml:space="preserve">0.457</w:t>
            </w:r>
          </w:p>
        </w:tc>
        <w:tc>
          <w:tcPr/>
          <w:p>
            <w:pPr>
              <w:pStyle w:val="Compact"/>
            </w:pPr>
            <w:r>
              <w:t xml:space="preserve">1.31</w:t>
            </w:r>
          </w:p>
        </w:tc>
        <w:tc>
          <w:tcPr/>
          <w:p>
            <w:pPr>
              <w:pStyle w:val="Compact"/>
            </w:pPr>
            <w:r>
              <w:t xml:space="preserve">1.12</w:t>
            </w:r>
          </w:p>
        </w:tc>
      </w:tr>
      <w:tr>
        <w:tc>
          <w:tcPr/>
          <w:p>
            <w:pPr>
              <w:pStyle w:val="Compact"/>
            </w:pPr>
            <w:r>
              <w:t xml:space="preserve">1007</w:t>
            </w:r>
          </w:p>
        </w:tc>
        <w:tc>
          <w:tcPr/>
          <w:p>
            <w:pPr>
              <w:pStyle w:val="Compact"/>
            </w:pPr>
            <w:r>
              <w:t xml:space="preserve">0.37</w:t>
            </w:r>
          </w:p>
        </w:tc>
        <w:tc>
          <w:tcPr/>
          <w:p>
            <w:pPr>
              <w:pStyle w:val="Compact"/>
            </w:pPr>
            <w:r>
              <w:t xml:space="preserve">0.518</w:t>
            </w:r>
          </w:p>
        </w:tc>
        <w:tc>
          <w:tcPr/>
          <w:p>
            <w:pPr>
              <w:pStyle w:val="Compact"/>
            </w:pPr>
            <w:r>
              <w:t xml:space="preserve">0.481</w:t>
            </w:r>
          </w:p>
        </w:tc>
        <w:tc>
          <w:tcPr/>
          <w:p>
            <w:pPr>
              <w:pStyle w:val="Compact"/>
            </w:pPr>
            <w:r>
              <w:t xml:space="preserve">0.579</w:t>
            </w:r>
          </w:p>
        </w:tc>
        <w:tc>
          <w:tcPr/>
          <w:p>
            <w:pPr>
              <w:pStyle w:val="Compact"/>
            </w:pPr>
            <w:r>
              <w:t xml:space="preserve">1.08</w:t>
            </w:r>
          </w:p>
        </w:tc>
        <w:tc>
          <w:tcPr/>
          <w:p>
            <w:pPr>
              <w:pStyle w:val="Compact"/>
            </w:pPr>
            <w:r>
              <w:t xml:space="preserve">0.90</w:t>
            </w:r>
          </w:p>
        </w:tc>
      </w:tr>
      <w:tr>
        <w:tc>
          <w:tcPr/>
          <w:p>
            <w:pPr>
              <w:pStyle w:val="Compact"/>
            </w:pPr>
            <w:r>
              <w:t xml:space="preserve">1008</w:t>
            </w:r>
          </w:p>
        </w:tc>
        <w:tc>
          <w:tcPr/>
          <w:p>
            <w:pPr>
              <w:pStyle w:val="Compact"/>
            </w:pPr>
            <w:r>
              <w:t xml:space="preserve">0.37</w:t>
            </w:r>
          </w:p>
        </w:tc>
        <w:tc>
          <w:tcPr/>
          <w:p>
            <w:pPr>
              <w:pStyle w:val="Compact"/>
            </w:pPr>
            <w:r>
              <w:t xml:space="preserve">0.492</w:t>
            </w:r>
          </w:p>
        </w:tc>
        <w:tc>
          <w:tcPr/>
          <w:p>
            <w:pPr>
              <w:pStyle w:val="Compact"/>
            </w:pPr>
            <w:r>
              <w:t xml:space="preserve">0.450</w:t>
            </w:r>
          </w:p>
        </w:tc>
        <w:tc>
          <w:tcPr/>
          <w:p>
            <w:pPr>
              <w:pStyle w:val="Compact"/>
            </w:pPr>
            <w:r>
              <w:t xml:space="preserve">0.404</w:t>
            </w:r>
          </w:p>
        </w:tc>
        <w:tc>
          <w:tcPr/>
          <w:p>
            <w:pPr>
              <w:pStyle w:val="Compact"/>
            </w:pPr>
            <w:r>
              <w:t xml:space="preserve">1.09</w:t>
            </w:r>
          </w:p>
        </w:tc>
        <w:tc>
          <w:tcPr/>
          <w:p>
            <w:pPr>
              <w:pStyle w:val="Compact"/>
            </w:pPr>
            <w:r>
              <w:t xml:space="preserve">1.22</w:t>
            </w:r>
          </w:p>
        </w:tc>
      </w:tr>
      <w:tr>
        <w:tc>
          <w:tcPr/>
          <w:p>
            <w:pPr>
              <w:pStyle w:val="Compact"/>
            </w:pPr>
            <w:r>
              <w:t xml:space="preserve">1009</w:t>
            </w:r>
          </w:p>
        </w:tc>
        <w:tc>
          <w:tcPr/>
          <w:p>
            <w:pPr>
              <w:pStyle w:val="Compact"/>
            </w:pPr>
            <w:r>
              <w:t xml:space="preserve">0.30</w:t>
            </w:r>
          </w:p>
        </w:tc>
        <w:tc>
          <w:tcPr/>
          <w:p>
            <w:pPr>
              <w:pStyle w:val="Compact"/>
            </w:pPr>
            <w:r>
              <w:t xml:space="preserve">0.555</w:t>
            </w:r>
          </w:p>
        </w:tc>
        <w:tc>
          <w:tcPr/>
          <w:p>
            <w:pPr>
              <w:pStyle w:val="Compact"/>
            </w:pPr>
            <w:r>
              <w:t xml:space="preserve">0.450</w:t>
            </w:r>
          </w:p>
        </w:tc>
        <w:tc>
          <w:tcPr/>
          <w:p>
            <w:pPr>
              <w:pStyle w:val="Compact"/>
            </w:pPr>
            <w:r>
              <w:t xml:space="preserve">0.336</w:t>
            </w:r>
          </w:p>
        </w:tc>
        <w:tc>
          <w:tcPr/>
          <w:p>
            <w:pPr>
              <w:pStyle w:val="Compact"/>
            </w:pPr>
            <w:r>
              <w:t xml:space="preserve">1.23</w:t>
            </w:r>
          </w:p>
        </w:tc>
        <w:tc>
          <w:tcPr/>
          <w:p>
            <w:pPr>
              <w:pStyle w:val="Compact"/>
            </w:pPr>
            <w:r>
              <w:t xml:space="preserve">1.65</w:t>
            </w:r>
          </w:p>
        </w:tc>
      </w:tr>
    </w:tbl>
    <w:p>
      <w:pPr>
        <w:pStyle w:val="BodyText"/>
      </w:pPr>
      <w:r>
        <w:t xml:space="preserve">Every seed has at least one local radius that outperforms the adaptive demon — ratios range from 1.03 to 1.38. The local demon also outperforms the god demon in 8 of 10 seeds (ratios 1.10–1.65), failing only in seeds 1000 and 1007 where the god demon happened to achieve unusually high</w:t>
      </w:r>
      <w:r>
        <w:t xml:space="preserve"> </w:t>
      </w:r>
      <m:oMath>
        <m:r>
          <m:rPr>
            <m:sty m:val="p"/>
          </m:rPr>
          <m:t>Δ</m:t>
        </m:r>
        <m:r>
          <m:t>T</m:t>
        </m:r>
      </m:oMath>
      <w:r>
        <w:t xml:space="preserve"> </w:t>
      </w:r>
      <w:r>
        <w:t xml:space="preserve">(0.578–0.579). The best-performing radius varies across seeds (0.16–0.58), but it consistently falls in the intermediate range where the local threshold captures spatial structure near the door.</w:t>
      </w:r>
    </w:p>
    <w:p>
      <w:pPr>
        <w:pStyle w:val="BodyText"/>
      </w:pPr>
      <w:r>
        <w:t xml:space="preserve">At</w:t>
      </w:r>
      <w:r>
        <w:t xml:space="preserve"> </w:t>
      </w:r>
      <m:oMath>
        <m:r>
          <m:t>r</m:t>
        </m:r>
        <m:r>
          <m:rPr>
            <m:sty m:val="p"/>
          </m:rPr>
          <m:t>/</m:t>
        </m:r>
        <m:r>
          <m:t>L</m:t>
        </m:r>
        <m:r>
          <m:rPr>
            <m:sty m:val="p"/>
          </m:rPr>
          <m:t>=</m:t>
        </m:r>
        <m:r>
          <m:t>1.0</m:t>
        </m:r>
      </m:oMath>
      <w:r>
        <w:t xml:space="preserve">, every seed produces a local/adaptive ratio of exactly 1.000, confirming that the outperformance at intermediate radii is genuine and not an artifact of measurement or simulation differences.</w:t>
      </w:r>
    </w:p>
    <w:bookmarkEnd w:id="41"/>
    <w:bookmarkEnd w:id="42"/>
    <w:bookmarkStart w:id="50" w:name="design-decisions"/>
    <w:p>
      <w:pPr>
        <w:pStyle w:val="Heading2"/>
      </w:pPr>
      <w:r>
        <w:t xml:space="preserve">4. Design Decisions</w:t>
      </w:r>
    </w:p>
    <w:bookmarkStart w:id="43"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3"/>
    <w:bookmarkStart w:id="44" w:name="Xeaf10831a81aabf84f91a2cbde7fecf13d25a3a"/>
    <w:p>
      <w:pPr>
        <w:pStyle w:val="Heading3"/>
      </w:pPr>
      <w:r>
        <w:t xml:space="preserve">Why arrival-only decisions with single-crossing enforcement</w:t>
      </w:r>
    </w:p>
    <w:p>
      <w:pPr>
        <w:pStyle w:val="FirstParagraph"/>
      </w:pPr>
      <w:r>
        <w:t xml:space="preserve">Each particle triggers the door policy</w:t>
      </w:r>
      <w:r>
        <w:t xml:space="preserve"> </w:t>
      </w:r>
      <w:r>
        <w:rPr>
          <w:b/>
          <w:bCs/>
        </w:rPr>
        <w:t xml:space="preserve">exactly once</w:t>
      </w:r>
      <w:r>
        <w:t xml:space="preserve"> </w:t>
      </w:r>
      <w:r>
        <w:t xml:space="preserve">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bookmarkEnd w:id="44"/>
    <w:bookmarkStart w:id="45"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Both exclude the arriving particle to ensure the local demon at r/L ≥ 0.79 produces results identical to the classical demon — this identity serves as a correctness check for the simulation.</w:t>
      </w:r>
    </w:p>
    <w:bookmarkEnd w:id="45"/>
    <w:bookmarkStart w:id="46"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uses a theoretically superior decision rule (energy-based, both-sides information) but still suffers from the same spatial blindness. Its threshold is computed from global temperatures, which — like the global mean — are diluted by particles far from the door. The god demon averages 6% better than adaptive, but the local demon at intermediate radii outperforms even it, because spatial relevance matters more than decision-rule optimality.</w:t>
      </w:r>
    </w:p>
    <w:bookmarkEnd w:id="46"/>
    <w:bookmarkStart w:id="47" w:name="Xf01ffb47d428a7d420414660582c566351678e6"/>
    <w:p>
      <w:pPr>
        <w:pStyle w:val="Heading3"/>
      </w:pPr>
      <w:r>
        <w:t xml:space="preserve">Why the greedy-optimal demon has high variance</w:t>
      </w:r>
    </w:p>
    <w:p>
      <w:pPr>
        <w:pStyle w:val="FirstParagraph"/>
      </w:pPr>
      <w:r>
        <w:t xml:space="preserve">The energy-based threshold is more sensitive to the initial microstate than the mean-based rule. In seeds where the early spatial distribution happens to favor the greedy strategy (e.g., a cluster of fast particles near the door at</w:t>
      </w:r>
      <w:r>
        <w:t xml:space="preserve"> </w:t>
      </w:r>
      <m:oMath>
        <m:r>
          <m:t>t</m:t>
        </m:r>
        <m:r>
          <m:rPr>
            <m:sty m:val="p"/>
          </m:rPr>
          <m:t>=</m:t>
        </m:r>
        <m:r>
          <m:t>0</m:t>
        </m:r>
      </m:oMath>
      <w:r>
        <w:t xml:space="preserve">), the god demon achieves</w:t>
      </w:r>
      <w:r>
        <w:t xml:space="preserve"> </w:t>
      </w:r>
      <m:oMath>
        <m:r>
          <m:rPr>
            <m:sty m:val="p"/>
          </m:rPr>
          <m:t>Δ</m:t>
        </m:r>
        <m:r>
          <m:t>T</m:t>
        </m:r>
        <m:r>
          <m:rPr>
            <m:sty m:val="p"/>
          </m:rPr>
          <m:t>&gt;</m:t>
        </m:r>
        <m:r>
          <m:t>0.55</m:t>
        </m:r>
      </m:oMath>
      <w:r>
        <w:t xml:space="preserve">. In unfavorable seeds, it underperforms adaptive (</w:t>
      </w:r>
      <m:oMath>
        <m:r>
          <m:rPr>
            <m:sty m:val="p"/>
          </m:rPr>
          <m:t>Δ</m:t>
        </m:r>
        <m:r>
          <m:t>T</m:t>
        </m:r>
        <m:r>
          <m:rPr>
            <m:sty m:val="p"/>
          </m:rPr>
          <m:t>=</m:t>
        </m:r>
        <m:r>
          <m:t>0.34</m:t>
        </m:r>
      </m:oMath>
      <w:r>
        <w:t xml:space="preserve">–</w:t>
      </w:r>
      <m:oMath>
        <m:r>
          <m:t>0.40</m:t>
        </m:r>
      </m:oMath>
      <w:r>
        <w:t xml:space="preserve">). The mean-based rule’s simpler threshold is more robust: it compresses information further, but that compression acts as regularization, smoothing over microstate-specific fluctuations.</w:t>
      </w:r>
    </w:p>
    <w:bookmarkEnd w:id="47"/>
    <w:bookmarkStart w:id="48"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8"/>
    <w:bookmarkStart w:id="49"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9"/>
    <w:bookmarkEnd w:id="50"/>
    <w:bookmarkStart w:id="51" w:name="conclusions"/>
    <w:p>
      <w:pPr>
        <w:pStyle w:val="Heading2"/>
      </w:pPr>
      <w:r>
        <w:t xml:space="preserve">5. Conclusions</w:t>
      </w:r>
    </w:p>
    <w:p>
      <w:pPr>
        <w:numPr>
          <w:ilvl w:val="0"/>
          <w:numId w:val="1006"/>
        </w:numPr>
      </w:pPr>
      <w:r>
        <w:rPr>
          <w:b/>
          <w:bCs/>
        </w:rPr>
        <w:t xml:space="preserve">Local information is not just</w:t>
      </w:r>
      <w:r>
        <w:rPr>
          <w:b/>
          <w:bCs/>
        </w:rPr>
        <w:t xml:space="preserve"> </w:t>
      </w:r>
      <w:r>
        <w:rPr>
          <w:b/>
          <w:bCs/>
        </w:rPr>
        <w:t xml:space="preserve">“good enough”</w:t>
      </w:r>
      <w:r>
        <w:rPr>
          <w:b/>
          <w:bCs/>
        </w:rPr>
        <w:t xml:space="preserve"> </w:t>
      </w:r>
      <w:r>
        <w:rPr>
          <w:b/>
          <w:bCs/>
        </w:rPr>
        <w:t xml:space="preserve">— it can be better than any global strategy.</w:t>
      </w:r>
      <w:r>
        <w:t xml:space="preserve"> </w:t>
      </w:r>
      <w:r>
        <w:t xml:space="preserve">At intermediate radii (</w:t>
      </w:r>
      <m:oMath>
        <m:r>
          <m:t>r</m:t>
        </m:r>
        <m:r>
          <m:rPr>
            <m:sty m:val="p"/>
          </m:rPr>
          <m:t>/</m:t>
        </m:r>
        <m:r>
          <m:t>L</m:t>
        </m:r>
        <m:r>
          <m:rPr>
            <m:sty m:val="p"/>
          </m:rPr>
          <m:t>≈</m:t>
        </m:r>
        <m:r>
          <m:t>0.16</m:t>
        </m:r>
      </m:oMath>
      <w:r>
        <w:t xml:space="preserve">–</w:t>
      </w:r>
      <m:oMath>
        <m:r>
          <m:t>0.30</m:t>
        </m:r>
      </m:oMath>
      <w:r>
        <w:t xml:space="preserve">), the local demon outperforms the adaptive demon in 6–7 of 10 seeds (peak mean ratio 1.07) and outperforms the greedy-optimal god demon in 8 of 10 seeds at its best radius. Spatial correlations near the door — fast particles clustering after crossing, slow particles drifting away — give the local threshold an advantage that no global statistic can match.</w:t>
      </w:r>
    </w:p>
    <w:p>
      <w:pPr>
        <w:numPr>
          <w:ilvl w:val="0"/>
          <w:numId w:val="1006"/>
        </w:numPr>
      </w:pPr>
      <w:r>
        <w:rPr>
          <w:b/>
          <w:bCs/>
        </w:rPr>
        <w:t xml:space="preserve">The greedy-optimal demon is not the ceiling it appears to be.</w:t>
      </w:r>
      <w:r>
        <w:t xml:space="preserve"> </w:t>
      </w:r>
      <w:r>
        <w:t xml:space="preserve">Despite using a theoretically superior energy-based decision rule with perfect information, the god demon averages only 6% above adaptive (</w:t>
      </w:r>
      <m:oMath>
        <m:r>
          <m:rPr>
            <m:sty m:val="p"/>
          </m:rPr>
          <m:t>Δ</m:t>
        </m:r>
        <m:r>
          <m:t>T</m:t>
        </m:r>
        <m:r>
          <m:rPr>
            <m:sty m:val="p"/>
          </m:rPr>
          <m:t>=</m:t>
        </m:r>
        <m:r>
          <m:t>0.46</m:t>
        </m:r>
      </m:oMath>
      <w:r>
        <w:t xml:space="preserve"> </w:t>
      </w:r>
      <w:r>
        <w:t xml:space="preserve">vs</w:t>
      </w:r>
      <w:r>
        <w:t xml:space="preserve"> </w:t>
      </w:r>
      <m:oMath>
        <m:r>
          <m:t>0.44</m:t>
        </m:r>
      </m:oMath>
      <w:r>
        <w:t xml:space="preserve">) and has higher variance (σ = 0.07 vs 0.05). It underperforms adaptive in 3 of 10 seeds. The local demon at its best radius outperforms god in 8 of 10 seeds, demonstrating that</w:t>
      </w:r>
      <w:r>
        <w:t xml:space="preserve"> </w:t>
      </w:r>
      <w:r>
        <w:rPr>
          <w:i/>
          <w:iCs/>
        </w:rPr>
        <w:t xml:space="preserve">what</w:t>
      </w:r>
      <w:r>
        <w:t xml:space="preserve"> </w:t>
      </w:r>
      <w:r>
        <w:t xml:space="preserve">information you use (spatial locality) matters more than</w:t>
      </w:r>
      <w:r>
        <w:t xml:space="preserve"> </w:t>
      </w:r>
      <w:r>
        <w:rPr>
          <w:i/>
          <w:iCs/>
        </w:rPr>
        <w:t xml:space="preserve">how optimally</w:t>
      </w:r>
      <w:r>
        <w:t xml:space="preserve"> </w:t>
      </w:r>
      <w:r>
        <w:t xml:space="preserve">you use global information.</w:t>
      </w:r>
    </w:p>
    <w:p>
      <w:pPr>
        <w:numPr>
          <w:ilvl w:val="0"/>
          <w:numId w:val="1006"/>
        </w:numPr>
      </w:pPr>
      <w:r>
        <w:rPr>
          <w:b/>
          <w:bCs/>
        </w:rPr>
        <w:t xml:space="preserve">Even tiny radii are surprisingly effective.</w:t>
      </w:r>
      <w:r>
        <w:t xml:space="preserve"> </w:t>
      </w:r>
      <w:r>
        <w:t xml:space="preserve">By</w:t>
      </w:r>
      <w:r>
        <w:t xml:space="preserve"> </w:t>
      </w:r>
      <m:oMath>
        <m:r>
          <m:t>r</m:t>
        </m:r>
        <m:r>
          <m:rPr>
            <m:sty m:val="p"/>
          </m:rPr>
          <m:t>/</m:t>
        </m:r>
        <m:r>
          <m:t>L</m:t>
        </m:r>
        <m:r>
          <m:rPr>
            <m:sty m:val="p"/>
          </m:rPr>
          <m:t>=</m:t>
        </m:r>
        <m:r>
          <m:t>0.09</m:t>
        </m:r>
      </m:oMath>
      <w:r>
        <w:t xml:space="preserve"> </w:t>
      </w:r>
      <w:r>
        <w:t xml:space="preserve">(polling ~9% of the box width), the local demon reaches 93% of adaptive’s sorting power with less than half the information budget (5,938 vs ~13,153 bits).</w:t>
      </w:r>
    </w:p>
    <w:p>
      <w:pPr>
        <w:numPr>
          <w:ilvl w:val="0"/>
          <w:numId w:val="1006"/>
        </w:numPr>
      </w:pPr>
      <w:r>
        <w:rPr>
          <w:b/>
          <w:bCs/>
        </w:rPr>
        <w:t xml:space="preserve">At full coverage, local and adaptive are identical.</w:t>
      </w:r>
      <w:r>
        <w:t xml:space="preserve"> </w:t>
      </w:r>
      <w:r>
        <w:t xml:space="preserve">From</w:t>
      </w:r>
      <w:r>
        <w:t xml:space="preserve"> </w:t>
      </w:r>
      <m:oMath>
        <m:r>
          <m:t>r</m:t>
        </m:r>
        <m:r>
          <m:rPr>
            <m:sty m:val="p"/>
          </m:rPr>
          <m:t>/</m:t>
        </m:r>
        <m:r>
          <m:t>L</m:t>
        </m:r>
        <m:r>
          <m:rPr>
            <m:sty m:val="p"/>
          </m:rPr>
          <m:t>≈</m:t>
        </m:r>
        <m:r>
          <m:t>0.79</m:t>
        </m:r>
      </m:oMath>
      <w:r>
        <w:t xml:space="preserve"> </w:t>
      </w:r>
      <w:r>
        <w:t xml:space="preserve">onward, the local demon’s circle covers the entire half-box. All 10 seeds produce a ratio of exactly 1.000, confirming that the intermediate-radius outperformance is real and not a simulation artifact.</w:t>
      </w:r>
    </w:p>
    <w:p>
      <w:pPr>
        <w:numPr>
          <w:ilvl w:val="0"/>
          <w:numId w:val="1006"/>
        </w:numPr>
      </w:pPr>
      <w:r>
        <w:rPr>
          <w:b/>
          <w:bCs/>
        </w:rPr>
        <w:t xml:space="preserve">Information cost grows faster than sorting quality.</w:t>
      </w:r>
      <w:r>
        <w:t xml:space="preserve"> </w:t>
      </w:r>
      <w:r>
        <w:t xml:space="preserve">Moving from</w:t>
      </w:r>
      <w:r>
        <w:t xml:space="preserve"> </w:t>
      </w:r>
      <m:oMath>
        <m:r>
          <m:t>r</m:t>
        </m:r>
        <m:r>
          <m:rPr>
            <m:sty m:val="p"/>
          </m:rPr>
          <m:t>/</m:t>
        </m:r>
        <m:r>
          <m:t>L</m:t>
        </m:r>
        <m:r>
          <m:rPr>
            <m:sty m:val="p"/>
          </m:rPr>
          <m:t>=</m:t>
        </m:r>
        <m:r>
          <m:t>0.09</m:t>
        </m:r>
      </m:oMath>
      <w:r>
        <w:t xml:space="preserve"> </w:t>
      </w:r>
      <w:r>
        <w:t xml:space="preserve">(93%) to</w:t>
      </w:r>
      <w:r>
        <w:t xml:space="preserve"> </w:t>
      </w:r>
      <m:oMath>
        <m:r>
          <m:t>r</m:t>
        </m:r>
        <m:r>
          <m:rPr>
            <m:sty m:val="p"/>
          </m:rPr>
          <m:t>/</m:t>
        </m:r>
        <m:r>
          <m:t>L</m:t>
        </m:r>
        <m:r>
          <m:rPr>
            <m:sty m:val="p"/>
          </m:rPr>
          <m:t>=</m:t>
        </m:r>
        <m:r>
          <m:t>0.30</m:t>
        </m:r>
      </m:oMath>
      <w:r>
        <w:t xml:space="preserve"> </w:t>
      </w:r>
      <w:r>
        <w:t xml:space="preserve">(107%) doubles the bit budget (5,938 → 11,648 bits). Beyond</w:t>
      </w:r>
      <w:r>
        <w:t xml:space="preserve"> </w:t>
      </w:r>
      <m:oMath>
        <m:r>
          <m:t>r</m:t>
        </m:r>
        <m:r>
          <m:rPr>
            <m:sty m:val="p"/>
          </m:rPr>
          <m:t>/</m:t>
        </m:r>
        <m:r>
          <m:t>L</m:t>
        </m:r>
        <m:r>
          <m:rPr>
            <m:sty m:val="p"/>
          </m:rPr>
          <m:t>≈</m:t>
        </m:r>
        <m:r>
          <m:t>0.3</m:t>
        </m:r>
      </m:oMath>
      <w:r>
        <w:t xml:space="preserve">, additional information actively hurts as the local threshold converges toward the less-effective global mean.</w:t>
      </w:r>
    </w:p>
    <w:p>
      <w:pPr>
        <w:numPr>
          <w:ilvl w:val="0"/>
          <w:numId w:val="1006"/>
        </w:numPr>
      </w:pPr>
      <w:r>
        <w:rPr>
          <w:b/>
          <w:bCs/>
        </w:rPr>
        <w:t xml:space="preserve">The entropy-temperature tradeoff is clean.</w:t>
      </w:r>
      <w:r>
        <w:t xml:space="preserve"> </w:t>
      </w:r>
      <w:r>
        <w:t xml:space="preserve">More sorting corresponds to more negative</w:t>
      </w:r>
      <w:r>
        <w:t xml:space="preserve"> </w:t>
      </w:r>
      <m:oMath>
        <m:r>
          <m:rPr>
            <m:sty m:val="p"/>
          </m:rPr>
          <m:t>Δ</m:t>
        </m:r>
        <m:r>
          <m:t>S</m:t>
        </m:r>
        <m:r>
          <m:rPr>
            <m:sty m:val="p"/>
          </m:rPr>
          <m:t>/</m:t>
        </m:r>
        <m:r>
          <m:t>N</m:t>
        </m:r>
      </m:oMath>
      <w:r>
        <w:t xml:space="preserve">, with values ranging from</w:t>
      </w:r>
      <w:r>
        <w:t xml:space="preserve"> </w:t>
      </w:r>
      <m:oMath>
        <m:r>
          <m:rPr>
            <m:sty m:val="p"/>
          </m:rPr>
          <m:t>−</m:t>
        </m:r>
        <m:r>
          <m:t>0.015</m:t>
        </m:r>
      </m:oMath>
      <w:r>
        <w:t xml:space="preserve"> </w:t>
      </w:r>
      <w:r>
        <w:t xml:space="preserve">at</w:t>
      </w:r>
      <w:r>
        <w:t xml:space="preserve"> </w:t>
      </w:r>
      <m:oMath>
        <m:r>
          <m:t>r</m:t>
        </m:r>
        <m:r>
          <m:rPr>
            <m:sty m:val="p"/>
          </m:rPr>
          <m:t>/</m:t>
        </m:r>
        <m:r>
          <m:t>L</m:t>
        </m:r>
        <m:r>
          <m:rPr>
            <m:sty m:val="p"/>
          </m:rPr>
          <m:t>=</m:t>
        </m:r>
        <m:r>
          <m:t>0.02</m:t>
        </m:r>
      </m:oMath>
      <w:r>
        <w:t xml:space="preserve"> </w:t>
      </w:r>
      <w:r>
        <w:t xml:space="preserve">to</w:t>
      </w:r>
      <w:r>
        <w:t xml:space="preserve"> </w:t>
      </w:r>
      <m:oMath>
        <m:r>
          <m:rPr>
            <m:sty m:val="p"/>
          </m:rPr>
          <m:t>−</m:t>
        </m:r>
        <m:r>
          <m:t>0.033</m:t>
        </m:r>
      </m:oMath>
      <w:r>
        <w:t xml:space="preserve"> </w:t>
      </w:r>
      <w:r>
        <w:t xml:space="preserve">at saturation. The relationship is well-defined across all seeds and radii.</w:t>
      </w:r>
    </w:p>
    <w:p>
      <w:pPr>
        <w:numPr>
          <w:ilvl w:val="0"/>
          <w:numId w:val="1006"/>
        </w:numPr>
      </w:pPr>
      <w:r>
        <w:rPr>
          <w:b/>
          <w:bCs/>
        </w:rPr>
        <w:t xml:space="preserve">Seed-to-seed variability is substantial.</w:t>
      </w:r>
      <w:r>
        <w:t xml:space="preserve"> </w:t>
      </w:r>
      <w:r>
        <w:t xml:space="preserve">The best-performing local radius varies from 0.16 to 0.58 depending on the initial microstate, but it always falls in the intermediate range. Every seed has at least one radius that outperforms both global demons.</w:t>
      </w:r>
    </w:p>
    <w:p>
      <w:pPr>
        <w:pStyle w:val="FirstParagraph"/>
      </w:pPr>
      <w:r>
        <w:t xml:space="preserve">The central takeaway:</w:t>
      </w:r>
      <w:r>
        <w:t xml:space="preserve"> </w:t>
      </w:r>
      <w:r>
        <w:rPr>
          <w:b/>
          <w:bCs/>
        </w:rPr>
        <w:t xml:space="preserve">you don’t need centralization — and you may not want it.</w:t>
      </w:r>
      <w:r>
        <w:t xml:space="preserve"> </w:t>
      </w:r>
      <w:r>
        <w:t xml:space="preserve">Both global demons — the mean-based adaptive and the energy-based optimal — treat every particle on a side as equally informative, blind to spatial structure. The local demon, by focusing on its spatial neighborhood, builds a threshold that reflects the actual state near the door — where the sorting decisions matter. The second law is not violated — Landauer’s principle ensures the global entropy budget balances — but the results challenge the assumption that more information always means better decisions. In the presence of spatial correlations, local knowledge is not just cheaper but more relevant, and the optimal operating point is a modest sensing radius that captures nearby structure without drowning in far-field noise.</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2026-04-11T21:50:53Z</dcterms:created>
  <dcterms:modified xsi:type="dcterms:W3CDTF">2026-04-11T21:50:53Z</dcterms:modified>
</cp:coreProperties>
</file>

<file path=docProps/custom.xml><?xml version="1.0" encoding="utf-8"?>
<Properties xmlns="http://schemas.openxmlformats.org/officeDocument/2006/custom-properties" xmlns:vt="http://schemas.openxmlformats.org/officeDocument/2006/docPropsVTypes"/>
</file>