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77777777" w:rsidR="00806A8C" w:rsidRPr="00A067CE" w:rsidRDefault="00000000" w:rsidP="00A067CE">
      <w:pPr>
        <w:pStyle w:val="Title"/>
      </w:pPr>
      <w:bookmarkStart w:id="0" w:name="_nftdx8h6m2r" w:colFirst="0" w:colLast="0"/>
      <w:bookmarkEnd w:id="0"/>
      <w:r w:rsidRPr="00A067CE">
        <w:rPr>
          <w:rtl/>
        </w:rPr>
        <w:t>گزارش راهبرد نمونه‌گیری داده برای پروژه تحلیل رفتار مشتریان</w:t>
      </w:r>
    </w:p>
    <w:p w14:paraId="00000003" w14:textId="5D6496BC" w:rsidR="00806A8C" w:rsidRPr="00A067CE" w:rsidRDefault="00806A8C">
      <w:pPr>
        <w:bidi/>
        <w:rPr>
          <w:rFonts w:ascii="Arial" w:eastAsia="Arial" w:hAnsi="Arial" w:cs="B Nazanin"/>
          <w:color w:val="1B1C1D"/>
        </w:rPr>
      </w:pPr>
    </w:p>
    <w:p w14:paraId="00000004" w14:textId="77777777" w:rsidR="00806A8C" w:rsidRPr="00412B48" w:rsidRDefault="00000000" w:rsidP="00412B48">
      <w:pPr>
        <w:pStyle w:val="Heading1"/>
      </w:pPr>
      <w:bookmarkStart w:id="1" w:name="_97cfmo4yo44f" w:colFirst="0" w:colLast="0"/>
      <w:bookmarkEnd w:id="1"/>
      <w:r w:rsidRPr="00412B48">
        <w:rPr>
          <w:rtl/>
        </w:rPr>
        <w:t>۱. مقدمه</w:t>
      </w:r>
    </w:p>
    <w:p w14:paraId="00000005" w14:textId="1908F0AF" w:rsidR="00806A8C" w:rsidRPr="00A067CE" w:rsidRDefault="00000000">
      <w:pPr>
        <w:bidi/>
        <w:spacing w:after="240"/>
        <w:rPr>
          <w:rFonts w:ascii="Arial" w:eastAsia="Arial" w:hAnsi="Arial" w:cs="B Nazanin"/>
          <w:color w:val="1B1C1D"/>
        </w:rPr>
      </w:pPr>
      <w:r w:rsidRPr="00A067CE">
        <w:rPr>
          <w:rFonts w:ascii="Arial" w:eastAsia="Arial" w:hAnsi="Arial" w:cs="B Nazanin"/>
          <w:color w:val="1B1C1D"/>
          <w:rtl/>
        </w:rPr>
        <w:t xml:space="preserve">این گزارش، یک چارچوب عملیاتی برای انتخاب زیرمجموعه‌ای از مشتریان بانک توسعه تعاون جهت استفاده در «پروژه تحلیل رفتار مشتریان» ارائه می‌دهد. با توجه به حجم عظیم داده‌های مشتریان طی یک بازه پنج‌ساله و محدودیت در دسترسی به کل پایگاه داده، اتخاذ یک رویکرد نمونه‌گیری هوشمندانه و مبتنی بر اصول علمی، امری ضروری است. </w:t>
      </w:r>
      <w:r w:rsidR="003B365B">
        <w:rPr>
          <w:rFonts w:ascii="Arial" w:eastAsia="Arial" w:hAnsi="Arial" w:cs="B Nazanin" w:hint="cs"/>
          <w:color w:val="1B1C1D"/>
          <w:rtl/>
        </w:rPr>
        <w:t xml:space="preserve">لذا </w:t>
      </w:r>
      <w:r w:rsidRPr="00A067CE">
        <w:rPr>
          <w:rFonts w:ascii="Arial" w:eastAsia="Arial" w:hAnsi="Arial" w:cs="B Nazanin"/>
          <w:color w:val="1B1C1D"/>
          <w:rtl/>
        </w:rPr>
        <w:t xml:space="preserve">هدف ایجاد یک مجموعه داده </w:t>
      </w:r>
      <w:r w:rsidR="00412B48">
        <w:rPr>
          <w:rFonts w:ascii="Arial" w:eastAsia="Arial" w:hAnsi="Arial" w:cs="B Nazanin" w:hint="cs"/>
          <w:color w:val="1B1C1D"/>
          <w:rtl/>
        </w:rPr>
        <w:t>با حجم مناسب</w:t>
      </w:r>
      <w:r w:rsidRPr="00A067CE">
        <w:rPr>
          <w:rFonts w:ascii="Arial" w:eastAsia="Arial" w:hAnsi="Arial" w:cs="B Nazanin"/>
          <w:color w:val="1B1C1D"/>
          <w:rtl/>
        </w:rPr>
        <w:t xml:space="preserve"> است که ضمن حفظ ویژگی‌های آماری و الگوهای رفتاری کلیدی جمعیت اصلی، امکان اجرای سریع و کارآمد الگوریتم‌های داده‌کاوی مانند خوشه‌بندی و مدل‌سازی پیش‌بینی را فراهم آور</w:t>
      </w:r>
      <w:r w:rsidR="00A067CE" w:rsidRPr="00A067CE">
        <w:rPr>
          <w:rFonts w:ascii="Arial" w:eastAsia="Arial" w:hAnsi="Arial" w:cs="B Nazanin" w:hint="cs"/>
          <w:color w:val="1B1C1D"/>
          <w:rtl/>
        </w:rPr>
        <w:t>د.</w:t>
      </w:r>
    </w:p>
    <w:p w14:paraId="00000006" w14:textId="60406A2D" w:rsidR="00806A8C" w:rsidRPr="00A067CE" w:rsidRDefault="00000000">
      <w:pPr>
        <w:bidi/>
        <w:spacing w:after="240"/>
        <w:rPr>
          <w:rFonts w:ascii="Arial" w:eastAsia="Arial" w:hAnsi="Arial" w:cs="B Nazanin"/>
          <w:color w:val="1B1C1D"/>
        </w:rPr>
      </w:pPr>
      <w:r w:rsidRPr="00A067CE">
        <w:rPr>
          <w:rFonts w:ascii="Arial" w:eastAsia="Arial" w:hAnsi="Arial" w:cs="B Nazanin"/>
          <w:color w:val="1B1C1D"/>
          <w:rtl/>
        </w:rPr>
        <w:t xml:space="preserve">رویکرد پیشنهادی در این گزارش بر یک </w:t>
      </w:r>
      <w:r w:rsidR="003B365B">
        <w:rPr>
          <w:rFonts w:ascii="Arial" w:eastAsia="Arial" w:hAnsi="Arial" w:cs="B Nazanin" w:hint="cs"/>
          <w:color w:val="1B1C1D"/>
          <w:rtl/>
        </w:rPr>
        <w:t>استراتژی</w:t>
      </w:r>
      <w:r w:rsidRPr="00A067CE">
        <w:rPr>
          <w:rFonts w:ascii="Arial" w:eastAsia="Arial" w:hAnsi="Arial" w:cs="B Nazanin"/>
          <w:color w:val="1B1C1D"/>
          <w:rtl/>
        </w:rPr>
        <w:t xml:space="preserve"> دو مرحله‌ای استوار است: </w:t>
      </w:r>
      <w:r w:rsidRPr="00A067CE">
        <w:rPr>
          <w:rFonts w:ascii="Arial" w:eastAsia="Arial" w:hAnsi="Arial" w:cs="B Nazanin"/>
          <w:b/>
          <w:color w:val="1B1C1D"/>
          <w:rtl/>
        </w:rPr>
        <w:t>«ابتدا پالایش، سپس نمونه‌گیری »</w:t>
      </w:r>
      <w:r w:rsidRPr="00A067CE">
        <w:rPr>
          <w:rFonts w:ascii="Arial" w:eastAsia="Arial" w:hAnsi="Arial" w:cs="B Nazanin"/>
          <w:color w:val="1B1C1D"/>
          <w:rtl/>
        </w:rPr>
        <w:t>. این استراتژی تضمین می‌کند که تحلیل‌ها بر روی مشتریانی متمرکز شوند که دارای سیگنال‌های رفتاری قوی و معنادار هستند و از ورود نویز ناشی از حساب‌های غیرفعال یا داده‌های ناکامل به مدل‌سازی جلوگیری می‌کند.</w:t>
      </w:r>
    </w:p>
    <w:p w14:paraId="00000007" w14:textId="2E7B7E69" w:rsidR="00806A8C" w:rsidRPr="00A067CE" w:rsidRDefault="00806A8C">
      <w:pPr>
        <w:bidi/>
        <w:rPr>
          <w:rFonts w:ascii="Arial" w:eastAsia="Arial" w:hAnsi="Arial" w:cs="B Nazanin"/>
          <w:color w:val="1B1C1D"/>
        </w:rPr>
      </w:pPr>
    </w:p>
    <w:p w14:paraId="00000008" w14:textId="20A3BB2D" w:rsidR="00806A8C" w:rsidRPr="00A067CE" w:rsidRDefault="00000000" w:rsidP="00412B48">
      <w:pPr>
        <w:pStyle w:val="Heading1"/>
      </w:pPr>
      <w:bookmarkStart w:id="2" w:name="_1gqfqogw0s0z" w:colFirst="0" w:colLast="0"/>
      <w:bookmarkEnd w:id="2"/>
      <w:r w:rsidRPr="00A067CE">
        <w:rPr>
          <w:rtl/>
        </w:rPr>
        <w:t>۲. پالایش</w:t>
      </w:r>
      <w:r w:rsidR="00412B48">
        <w:rPr>
          <w:rFonts w:hint="cs"/>
          <w:rtl/>
        </w:rPr>
        <w:t xml:space="preserve"> داده</w:t>
      </w:r>
      <w:r w:rsidR="00412B48">
        <w:rPr>
          <w:rtl/>
        </w:rPr>
        <w:softHyphen/>
      </w:r>
      <w:r w:rsidR="00412B48">
        <w:rPr>
          <w:rFonts w:hint="cs"/>
          <w:rtl/>
        </w:rPr>
        <w:t>ها</w:t>
      </w:r>
    </w:p>
    <w:p w14:paraId="00000009" w14:textId="22362188" w:rsidR="00806A8C" w:rsidRPr="00A067CE" w:rsidRDefault="00000000">
      <w:pPr>
        <w:bidi/>
        <w:spacing w:after="240"/>
        <w:rPr>
          <w:rFonts w:ascii="Arial" w:eastAsia="Arial" w:hAnsi="Arial" w:cs="B Nazanin"/>
          <w:color w:val="1B1C1D"/>
        </w:rPr>
      </w:pPr>
      <w:r w:rsidRPr="00A067CE">
        <w:rPr>
          <w:rFonts w:ascii="Arial" w:eastAsia="Arial" w:hAnsi="Arial" w:cs="B Nazanin"/>
          <w:color w:val="1B1C1D"/>
          <w:rtl/>
        </w:rPr>
        <w:t xml:space="preserve">پیش از </w:t>
      </w:r>
      <w:r w:rsidR="00412B48">
        <w:rPr>
          <w:rFonts w:ascii="Arial" w:eastAsia="Arial" w:hAnsi="Arial" w:cs="B Nazanin" w:hint="cs"/>
          <w:color w:val="1B1C1D"/>
          <w:rtl/>
        </w:rPr>
        <w:t>انجام</w:t>
      </w:r>
      <w:r w:rsidRPr="00A067CE">
        <w:rPr>
          <w:rFonts w:ascii="Arial" w:eastAsia="Arial" w:hAnsi="Arial" w:cs="B Nazanin"/>
          <w:color w:val="1B1C1D"/>
          <w:rtl/>
        </w:rPr>
        <w:t xml:space="preserve"> نمونه‌گیری، پالایش جمعیت کل مشتریان برای شناسایی «مشتریان فعال و معنادار» یک گام حیاتی است. تحلیل رفتاری بر روی مشتریانی که تراکنش یا تعامل قابل توجهی با بانک ندارند، نه تنها قدرت تفکیک مدل‌های خوشه‌بندی را کاهش می‌دهد، بلکه منجر به ایجاد خوشه‌های بی‌معنی (مانند خوشه «مشتریان راکد») می‌شود که ارزش راهبردی ندارند. هدف این فاز، ایجاد یک </w:t>
      </w:r>
      <w:r w:rsidRPr="00A067CE">
        <w:rPr>
          <w:rFonts w:ascii="Arial" w:eastAsia="Arial" w:hAnsi="Arial" w:cs="B Nazanin"/>
          <w:b/>
          <w:color w:val="1B1C1D"/>
          <w:rtl/>
        </w:rPr>
        <w:t>زیرمجموعه غنی از سیگنال‌های رفتاری</w:t>
      </w:r>
      <w:r w:rsidRPr="00A067CE">
        <w:rPr>
          <w:rFonts w:ascii="Arial" w:eastAsia="Arial" w:hAnsi="Arial" w:cs="B Nazanin"/>
          <w:color w:val="1B1C1D"/>
          <w:rtl/>
        </w:rPr>
        <w:t xml:space="preserve"> است که تحلیل بر روی آن، الگوهای واقعی و قابل اقدام را آشکار می‌سازد. مطالعات متعدد نشان می‌دهند که تمرکز بر مشتریان فعال، دقت مدل‌های پیش‌بینی و بخش‌بندی رفتاری را به طور قابل توجهی بهبود می‌بخشد.</w:t>
      </w:r>
    </w:p>
    <w:p w14:paraId="0000000A" w14:textId="3601AAF5" w:rsidR="00806A8C" w:rsidRPr="00A067CE" w:rsidRDefault="00000000">
      <w:pPr>
        <w:bidi/>
        <w:spacing w:after="120"/>
        <w:rPr>
          <w:rFonts w:ascii="Arial" w:eastAsia="Arial" w:hAnsi="Arial" w:cs="B Nazanin"/>
          <w:color w:val="1B1C1D"/>
        </w:rPr>
      </w:pPr>
      <w:r w:rsidRPr="00A067CE">
        <w:rPr>
          <w:rFonts w:ascii="Arial" w:eastAsia="Arial" w:hAnsi="Arial" w:cs="B Nazanin"/>
          <w:color w:val="1B1C1D"/>
          <w:rtl/>
        </w:rPr>
        <w:t xml:space="preserve">برای تعریف </w:t>
      </w:r>
      <w:r w:rsidRPr="00A067CE">
        <w:rPr>
          <w:rFonts w:ascii="Arial" w:eastAsia="Arial" w:hAnsi="Arial" w:cs="B Nazanin"/>
          <w:b/>
          <w:color w:val="1B1C1D"/>
          <w:rtl/>
        </w:rPr>
        <w:t>«مشتری فعال»</w:t>
      </w:r>
      <w:r w:rsidRPr="00A067CE">
        <w:rPr>
          <w:rFonts w:ascii="Arial" w:eastAsia="Arial" w:hAnsi="Arial" w:cs="B Nazanin"/>
          <w:color w:val="1B1C1D"/>
          <w:rtl/>
        </w:rPr>
        <w:t xml:space="preserve">، </w:t>
      </w:r>
      <w:r w:rsidR="003B365B">
        <w:rPr>
          <w:rFonts w:ascii="Arial" w:eastAsia="Arial" w:hAnsi="Arial" w:cs="B Nazanin" w:hint="cs"/>
          <w:color w:val="1B1C1D"/>
          <w:rtl/>
        </w:rPr>
        <w:t>بر اساس مطالعات انجام گرفته</w:t>
      </w:r>
      <w:r w:rsidRPr="00A067CE">
        <w:rPr>
          <w:rFonts w:ascii="Arial" w:eastAsia="Arial" w:hAnsi="Arial" w:cs="B Nazanin"/>
          <w:color w:val="1B1C1D"/>
          <w:rtl/>
        </w:rPr>
        <w:t xml:space="preserve"> مجموعه‌ای از معیارها مبتنی بر مدل تحلیلی</w:t>
      </w:r>
      <w:r w:rsidRPr="00412B48">
        <w:rPr>
          <w:rFonts w:asciiTheme="minorHAnsi" w:eastAsia="Arial" w:hAnsiTheme="minorHAnsi" w:cs="B Nazanin"/>
          <w:color w:val="1B1C1D"/>
          <w:sz w:val="24"/>
          <w:szCs w:val="24"/>
        </w:rPr>
        <w:t>RFM</w:t>
      </w:r>
      <w:r w:rsidR="00412B48">
        <w:rPr>
          <w:rStyle w:val="FootnoteReference"/>
          <w:rFonts w:asciiTheme="minorHAnsi" w:eastAsia="Arial" w:hAnsiTheme="minorHAnsi" w:cs="B Nazanin"/>
          <w:color w:val="1B1C1D"/>
          <w:sz w:val="24"/>
          <w:szCs w:val="24"/>
        </w:rPr>
        <w:footnoteReference w:id="1"/>
      </w:r>
      <w:r w:rsidRPr="00412B48">
        <w:rPr>
          <w:rFonts w:asciiTheme="minorHAnsi" w:eastAsia="Arial" w:hAnsiTheme="minorHAnsi" w:cs="B Nazanin"/>
          <w:color w:val="1B1C1D"/>
          <w:sz w:val="24"/>
          <w:szCs w:val="24"/>
        </w:rPr>
        <w:t xml:space="preserve"> </w:t>
      </w:r>
      <w:r w:rsidR="00412B48">
        <w:rPr>
          <w:rFonts w:asciiTheme="minorHAnsi" w:eastAsia="Arial" w:hAnsiTheme="minorHAnsi" w:cs="B Nazanin" w:hint="cs"/>
          <w:color w:val="1B1C1D"/>
          <w:sz w:val="24"/>
          <w:szCs w:val="24"/>
          <w:rtl/>
        </w:rPr>
        <w:t xml:space="preserve"> </w:t>
      </w:r>
      <w:r w:rsidRPr="00A067CE">
        <w:rPr>
          <w:rFonts w:ascii="Arial" w:eastAsia="Arial" w:hAnsi="Arial" w:cs="B Nazanin"/>
          <w:color w:val="1B1C1D"/>
          <w:rtl/>
        </w:rPr>
        <w:t>و سایر شاخص‌های کیفی داده به کار گرفته شود:</w:t>
      </w:r>
    </w:p>
    <w:p w14:paraId="0000000B" w14:textId="0A58B88E" w:rsidR="00806A8C" w:rsidRPr="00A067CE" w:rsidRDefault="00000000" w:rsidP="003B365B">
      <w:pPr>
        <w:numPr>
          <w:ilvl w:val="0"/>
          <w:numId w:val="5"/>
        </w:numPr>
        <w:pBdr>
          <w:right w:val="none" w:sz="0" w:space="3" w:color="auto"/>
        </w:pBdr>
        <w:bidi/>
        <w:rPr>
          <w:rFonts w:cs="B Nazanin"/>
        </w:rPr>
      </w:pPr>
      <w:r w:rsidRPr="00A067CE">
        <w:rPr>
          <w:rFonts w:ascii="Arial" w:eastAsia="Arial" w:hAnsi="Arial" w:cs="B Nazanin"/>
          <w:b/>
          <w:color w:val="1B1C1D"/>
          <w:rtl/>
        </w:rPr>
        <w:t xml:space="preserve">تازگی </w:t>
      </w:r>
      <w:r w:rsidR="00412B48">
        <w:rPr>
          <w:rFonts w:ascii="Arial" w:eastAsia="Arial" w:hAnsi="Arial" w:cs="B Nazanin" w:hint="cs"/>
          <w:b/>
          <w:color w:val="1B1C1D"/>
          <w:rtl/>
        </w:rPr>
        <w:t>(</w:t>
      </w:r>
      <w:r w:rsidR="00412B48" w:rsidRPr="00412B48">
        <w:rPr>
          <w:rFonts w:asciiTheme="minorHAnsi" w:eastAsia="Arial" w:hAnsiTheme="minorHAnsi" w:cs="B Nazanin"/>
          <w:b/>
          <w:color w:val="1B1C1D"/>
          <w:sz w:val="24"/>
          <w:szCs w:val="24"/>
        </w:rPr>
        <w:t>Recency</w:t>
      </w:r>
      <w:r w:rsidR="00412B48">
        <w:rPr>
          <w:rFonts w:ascii="Arial" w:eastAsia="Arial" w:hAnsi="Arial" w:cs="B Nazanin" w:hint="cs"/>
          <w:b/>
          <w:color w:val="1B1C1D"/>
          <w:rtl/>
        </w:rPr>
        <w:t>)</w:t>
      </w:r>
      <w:r w:rsidRPr="00A067CE">
        <w:rPr>
          <w:rFonts w:ascii="Arial" w:eastAsia="Arial" w:hAnsi="Arial" w:cs="B Nazanin"/>
          <w:color w:val="1B1C1D"/>
          <w:rtl/>
        </w:rPr>
        <w:t xml:space="preserve"> مشتریانی که در </w:t>
      </w:r>
      <w:r w:rsidRPr="00A067CE">
        <w:rPr>
          <w:rFonts w:ascii="Arial" w:eastAsia="Arial" w:hAnsi="Arial" w:cs="B Nazanin"/>
          <w:b/>
          <w:color w:val="1B1C1D"/>
          <w:rtl/>
        </w:rPr>
        <w:t>۱۲ تا ۱۸ ماه اخیر</w:t>
      </w:r>
      <w:r w:rsidRPr="00A067CE">
        <w:rPr>
          <w:rFonts w:ascii="Arial" w:eastAsia="Arial" w:hAnsi="Arial" w:cs="B Nazanin"/>
          <w:color w:val="1B1C1D"/>
          <w:rtl/>
        </w:rPr>
        <w:t xml:space="preserve"> حداقل یک تراکنش مالی (سپرده، برداشت، انتقال، پرداخت قسط و غیره) ثبت کرده باشند. این معیار مشتریان ریزش‌کرده یا حساب‌های فراموش‌شده را حذف می‌کند.</w:t>
      </w:r>
    </w:p>
    <w:p w14:paraId="0000000C" w14:textId="0D57A6B7" w:rsidR="00806A8C" w:rsidRPr="00A067CE" w:rsidRDefault="00000000" w:rsidP="003B365B">
      <w:pPr>
        <w:numPr>
          <w:ilvl w:val="0"/>
          <w:numId w:val="5"/>
        </w:numPr>
        <w:pBdr>
          <w:right w:val="none" w:sz="0" w:space="3" w:color="auto"/>
        </w:pBdr>
        <w:bidi/>
        <w:rPr>
          <w:rFonts w:cs="B Nazanin"/>
        </w:rPr>
      </w:pPr>
      <w:r w:rsidRPr="00A067CE">
        <w:rPr>
          <w:rFonts w:ascii="Arial" w:eastAsia="Arial" w:hAnsi="Arial" w:cs="B Nazanin"/>
          <w:b/>
          <w:color w:val="1B1C1D"/>
          <w:rtl/>
        </w:rPr>
        <w:lastRenderedPageBreak/>
        <w:t>تکرا</w:t>
      </w:r>
      <w:r w:rsidR="00412B48">
        <w:rPr>
          <w:rFonts w:ascii="Arial" w:eastAsia="Arial" w:hAnsi="Arial" w:cs="B Nazanin" w:hint="cs"/>
          <w:b/>
          <w:color w:val="1B1C1D"/>
          <w:rtl/>
          <w:lang w:bidi="fa-IR"/>
        </w:rPr>
        <w:t>ر (</w:t>
      </w:r>
      <w:r w:rsidR="00412B48" w:rsidRPr="00412B48">
        <w:rPr>
          <w:rFonts w:asciiTheme="minorHAnsi" w:eastAsia="Arial" w:hAnsiTheme="minorHAnsi" w:cs="B Nazanin"/>
          <w:b/>
          <w:color w:val="1B1C1D"/>
          <w:sz w:val="24"/>
          <w:szCs w:val="24"/>
        </w:rPr>
        <w:t>Frequency</w:t>
      </w:r>
      <w:r w:rsidR="00412B48">
        <w:rPr>
          <w:rFonts w:ascii="Arial" w:eastAsia="Arial" w:hAnsi="Arial" w:cs="B Nazanin" w:hint="cs"/>
          <w:b/>
          <w:color w:val="1B1C1D"/>
          <w:rtl/>
          <w:lang w:bidi="fa-IR"/>
        </w:rPr>
        <w:t>):</w:t>
      </w:r>
      <w:r w:rsidRPr="00A067CE">
        <w:rPr>
          <w:rFonts w:ascii="Arial" w:eastAsia="Arial" w:hAnsi="Arial" w:cs="B Nazanin"/>
          <w:color w:val="1B1C1D"/>
          <w:rtl/>
        </w:rPr>
        <w:t xml:space="preserve"> مشتریانی که در طول یک سال حداقل تعداد مشخصی تراکنش داشته باشند. این آستانه باید بر اساس توزیع فراوانی تراکنش‌های بانک تعیین شود. برای مثال، می‌توان آستانه را معادل </w:t>
      </w:r>
      <w:r w:rsidRPr="00A067CE">
        <w:rPr>
          <w:rFonts w:ascii="Arial" w:eastAsia="Arial" w:hAnsi="Arial" w:cs="B Nazanin"/>
          <w:b/>
          <w:color w:val="1B1C1D"/>
          <w:rtl/>
        </w:rPr>
        <w:t>چارک اول (صدک ۲۵ام)</w:t>
      </w:r>
      <w:r w:rsidRPr="00A067CE">
        <w:rPr>
          <w:rFonts w:ascii="Arial" w:eastAsia="Arial" w:hAnsi="Arial" w:cs="B Nazanin"/>
          <w:color w:val="1B1C1D"/>
          <w:rtl/>
        </w:rPr>
        <w:t xml:space="preserve"> فراوانی تراکنش‌ها در نظر گرفت تا مشتریان با استفاده بسیار پراکنده و اتفاقی حذف شوند.</w:t>
      </w:r>
    </w:p>
    <w:p w14:paraId="0000000D" w14:textId="791E676F" w:rsidR="00806A8C" w:rsidRPr="00A067CE" w:rsidRDefault="00000000" w:rsidP="003B365B">
      <w:pPr>
        <w:numPr>
          <w:ilvl w:val="0"/>
          <w:numId w:val="5"/>
        </w:numPr>
        <w:pBdr>
          <w:right w:val="none" w:sz="0" w:space="3" w:color="auto"/>
        </w:pBdr>
        <w:bidi/>
        <w:rPr>
          <w:rFonts w:cs="B Nazanin"/>
        </w:rPr>
      </w:pPr>
      <w:r w:rsidRPr="00A067CE">
        <w:rPr>
          <w:rFonts w:ascii="Arial" w:eastAsia="Arial" w:hAnsi="Arial" w:cs="B Nazanin"/>
          <w:b/>
          <w:color w:val="1B1C1D"/>
          <w:rtl/>
        </w:rPr>
        <w:t>ارزش پولی</w:t>
      </w:r>
      <w:r w:rsidR="00412B48">
        <w:rPr>
          <w:rFonts w:ascii="Arial" w:eastAsia="Arial" w:hAnsi="Arial" w:cs="B Nazanin" w:hint="cs"/>
          <w:b/>
          <w:color w:val="1B1C1D"/>
          <w:rtl/>
        </w:rPr>
        <w:t xml:space="preserve"> (</w:t>
      </w:r>
      <w:r w:rsidR="00412B48" w:rsidRPr="00412B48">
        <w:rPr>
          <w:rFonts w:asciiTheme="minorHAnsi" w:eastAsia="Arial" w:hAnsiTheme="minorHAnsi" w:cs="B Nazanin"/>
          <w:b/>
          <w:color w:val="1B1C1D"/>
          <w:sz w:val="24"/>
          <w:szCs w:val="24"/>
        </w:rPr>
        <w:t>Monetary</w:t>
      </w:r>
      <w:r w:rsidR="00412B48">
        <w:rPr>
          <w:rFonts w:ascii="Arial" w:eastAsia="Arial" w:hAnsi="Arial" w:cs="B Nazanin" w:hint="cs"/>
          <w:b/>
          <w:color w:val="1B1C1D"/>
          <w:rtl/>
        </w:rPr>
        <w:t xml:space="preserve">): </w:t>
      </w:r>
      <w:r w:rsidRPr="00A067CE">
        <w:rPr>
          <w:rFonts w:ascii="Arial" w:eastAsia="Arial" w:hAnsi="Arial" w:cs="B Nazanin"/>
          <w:color w:val="1B1C1D"/>
          <w:rtl/>
        </w:rPr>
        <w:t xml:space="preserve">مشتریانی که مجموع ارزش تراکنش‌های سالانه یا میانگین مانده ماهانه آن‌ها از یک حد آستانه بیشتر باشد. این معیار نیز باید بر اساس </w:t>
      </w:r>
      <w:r w:rsidRPr="00A067CE">
        <w:rPr>
          <w:rFonts w:ascii="Arial" w:eastAsia="Arial" w:hAnsi="Arial" w:cs="B Nazanin"/>
          <w:b/>
          <w:color w:val="1B1C1D"/>
          <w:rtl/>
        </w:rPr>
        <w:t>توزیع صدک‌های ارزش پولی</w:t>
      </w:r>
      <w:r w:rsidRPr="00A067CE">
        <w:rPr>
          <w:rFonts w:ascii="Arial" w:eastAsia="Arial" w:hAnsi="Arial" w:cs="B Nazanin"/>
          <w:color w:val="1B1C1D"/>
          <w:rtl/>
        </w:rPr>
        <w:t xml:space="preserve"> مشتریان کالیبره شود (مثلاً بالاتر از صدک ۲۰ام).</w:t>
      </w:r>
    </w:p>
    <w:p w14:paraId="0000000E" w14:textId="4132D523" w:rsidR="00806A8C" w:rsidRPr="00A067CE" w:rsidRDefault="00000000" w:rsidP="003B365B">
      <w:pPr>
        <w:numPr>
          <w:ilvl w:val="0"/>
          <w:numId w:val="5"/>
        </w:numPr>
        <w:pBdr>
          <w:right w:val="none" w:sz="0" w:space="3" w:color="auto"/>
        </w:pBdr>
        <w:bidi/>
        <w:rPr>
          <w:rFonts w:cs="B Nazanin"/>
        </w:rPr>
      </w:pPr>
      <w:r w:rsidRPr="00A067CE">
        <w:rPr>
          <w:rFonts w:ascii="Arial" w:eastAsia="Arial" w:hAnsi="Arial" w:cs="B Nazanin"/>
          <w:b/>
          <w:color w:val="1B1C1D"/>
          <w:rtl/>
        </w:rPr>
        <w:t xml:space="preserve">دوره </w:t>
      </w:r>
      <w:r w:rsidR="00412B48">
        <w:rPr>
          <w:rFonts w:ascii="Arial" w:eastAsia="Arial" w:hAnsi="Arial" w:cs="B Nazanin" w:hint="cs"/>
          <w:b/>
          <w:color w:val="1B1C1D"/>
          <w:rtl/>
        </w:rPr>
        <w:t>فعالیت (</w:t>
      </w:r>
      <w:r w:rsidR="00412B48" w:rsidRPr="00412B48">
        <w:rPr>
          <w:rFonts w:asciiTheme="minorHAnsi" w:eastAsia="Arial" w:hAnsiTheme="minorHAnsi" w:cs="B Nazanin"/>
          <w:b/>
          <w:color w:val="1B1C1D"/>
          <w:sz w:val="24"/>
          <w:szCs w:val="24"/>
        </w:rPr>
        <w:t>Tenure</w:t>
      </w:r>
      <w:r w:rsidR="00412B48">
        <w:rPr>
          <w:rFonts w:ascii="Arial" w:eastAsia="Arial" w:hAnsi="Arial" w:cs="B Nazanin" w:hint="cs"/>
          <w:b/>
          <w:color w:val="1B1C1D"/>
          <w:rtl/>
        </w:rPr>
        <w:t>):</w:t>
      </w:r>
      <w:r w:rsidRPr="00A067CE">
        <w:rPr>
          <w:rFonts w:ascii="Arial" w:eastAsia="Arial" w:hAnsi="Arial" w:cs="B Nazanin"/>
          <w:color w:val="1B1C1D"/>
          <w:rtl/>
        </w:rPr>
        <w:t xml:space="preserve"> مشتریانی که حداقل </w:t>
      </w:r>
      <w:r w:rsidRPr="00A067CE">
        <w:rPr>
          <w:rFonts w:ascii="Arial" w:eastAsia="Arial" w:hAnsi="Arial" w:cs="B Nazanin"/>
          <w:b/>
          <w:color w:val="1B1C1D"/>
          <w:rtl/>
        </w:rPr>
        <w:t>۱۲ ماه</w:t>
      </w:r>
      <w:r w:rsidRPr="00A067CE">
        <w:rPr>
          <w:rFonts w:ascii="Arial" w:eastAsia="Arial" w:hAnsi="Arial" w:cs="B Nazanin"/>
          <w:color w:val="1B1C1D"/>
          <w:rtl/>
        </w:rPr>
        <w:t xml:space="preserve"> از تاریخ افتتاح اولین حساب آن‌ها گذشته باشد. این کار از ورود مشتریان بسیار جدید که هنوز الگوی رفتاری پایداری از خود نشان نداده‌اند، به تحلیل جلوگیری می‌کند.</w:t>
      </w:r>
    </w:p>
    <w:p w14:paraId="00000010" w14:textId="54108A8F" w:rsidR="00806A8C" w:rsidRPr="00A067CE" w:rsidRDefault="00000000">
      <w:pPr>
        <w:numPr>
          <w:ilvl w:val="0"/>
          <w:numId w:val="5"/>
        </w:numPr>
        <w:pBdr>
          <w:right w:val="none" w:sz="0" w:space="3" w:color="auto"/>
        </w:pBdr>
        <w:bidi/>
        <w:spacing w:after="360"/>
        <w:jc w:val="left"/>
        <w:rPr>
          <w:rFonts w:cs="B Nazanin"/>
        </w:rPr>
      </w:pPr>
      <w:r w:rsidRPr="00A067CE">
        <w:rPr>
          <w:rFonts w:ascii="Arial" w:eastAsia="Arial" w:hAnsi="Arial" w:cs="B Nazanin"/>
          <w:b/>
          <w:color w:val="1B1C1D"/>
          <w:rtl/>
        </w:rPr>
        <w:t xml:space="preserve">حذف داده‌های پرت </w:t>
      </w:r>
      <w:r w:rsidR="00412B48">
        <w:rPr>
          <w:rFonts w:ascii="Arial" w:eastAsia="Arial" w:hAnsi="Arial" w:cs="B Nazanin" w:hint="cs"/>
          <w:b/>
          <w:color w:val="1B1C1D"/>
          <w:rtl/>
        </w:rPr>
        <w:t>(</w:t>
      </w:r>
      <w:r w:rsidR="00412B48" w:rsidRPr="00412B48">
        <w:rPr>
          <w:rFonts w:asciiTheme="minorHAnsi" w:eastAsia="Arial" w:hAnsiTheme="minorHAnsi" w:cs="B Nazanin"/>
          <w:b/>
          <w:color w:val="1B1C1D"/>
          <w:sz w:val="24"/>
          <w:szCs w:val="24"/>
        </w:rPr>
        <w:t>Outlier Trimming</w:t>
      </w:r>
      <w:r w:rsidR="00412B48">
        <w:rPr>
          <w:rFonts w:ascii="Arial" w:eastAsia="Arial" w:hAnsi="Arial" w:cs="B Nazanin" w:hint="cs"/>
          <w:b/>
          <w:color w:val="1B1C1D"/>
          <w:rtl/>
        </w:rPr>
        <w:t>):</w:t>
      </w:r>
      <w:r w:rsidRPr="00A067CE">
        <w:rPr>
          <w:rFonts w:ascii="Arial" w:eastAsia="Arial" w:hAnsi="Arial" w:cs="B Nazanin"/>
          <w:color w:val="1B1C1D"/>
          <w:rtl/>
        </w:rPr>
        <w:t xml:space="preserve"> مشتریانی که در بالاترین نقطه توزیع ارزش پولی قرار دارند (مثلاً صدک 99.9)، اغلب رفتار منحصربه‌فردی دارند که می‌تواند مرکز خوشه‌ها را به سمت خود منحرف کند. توصیه می‌شود این مشتریان شناسایی شده و یا به صورت جداگانه تحلیل شوند یا از نمونه اولیه خوشه‌بندی خارج گردند.</w:t>
      </w:r>
    </w:p>
    <w:p w14:paraId="00000011" w14:textId="77777777" w:rsidR="00806A8C" w:rsidRPr="00A067CE" w:rsidRDefault="00000000">
      <w:pPr>
        <w:bidi/>
        <w:spacing w:after="240"/>
        <w:rPr>
          <w:rFonts w:ascii="Arial" w:eastAsia="Arial" w:hAnsi="Arial" w:cs="B Nazanin"/>
          <w:color w:val="1B1C1D"/>
        </w:rPr>
      </w:pPr>
      <w:r w:rsidRPr="00412B48">
        <w:rPr>
          <w:rFonts w:ascii="Arial" w:eastAsia="Arial" w:hAnsi="Arial" w:cs="B Nazanin"/>
          <w:bCs/>
          <w:color w:val="1B1C1D"/>
          <w:rtl/>
        </w:rPr>
        <w:t>کالیبراسیون آستانه‌ها:</w:t>
      </w:r>
      <w:r w:rsidRPr="00A067CE">
        <w:rPr>
          <w:rFonts w:ascii="Arial" w:eastAsia="Arial" w:hAnsi="Arial" w:cs="B Nazanin"/>
          <w:color w:val="1B1C1D"/>
          <w:rtl/>
        </w:rPr>
        <w:t xml:space="preserve"> مقادیر دقیق برای این فیلترها نباید به صورت ثابت تعیین شوند، بلکه باید با تحلیل توزیع آماری داده‌های واقعی بانک توسعه تعاون مشخص گردند. برای مثال، با رسم هیستوگرام تعداد تراکنش‌های سالانه مشتریان، می‌توان یک نقطه شکست طبیعی را به عنوان آستانه تکرار انتخاب کرد. این رویکرد تضمین می‌کند که فرآیند پالایش با ویژگی‌های خاص مشتریان بانک شما سازگار است.</w:t>
      </w:r>
    </w:p>
    <w:p w14:paraId="00000012" w14:textId="77777777" w:rsidR="00806A8C" w:rsidRPr="00A067CE" w:rsidRDefault="00000000">
      <w:pPr>
        <w:bidi/>
        <w:rPr>
          <w:rFonts w:ascii="Arial" w:eastAsia="Arial" w:hAnsi="Arial" w:cs="B Nazanin"/>
          <w:color w:val="1B1C1D"/>
        </w:rPr>
      </w:pPr>
      <w:r w:rsidRPr="00A067CE">
        <w:rPr>
          <w:rFonts w:cs="B Nazanin"/>
        </w:rPr>
        <w:pict w14:anchorId="664A52D5">
          <v:rect id="_x0000_i1028" style="width:0;height:1.5pt" o:hralign="center" o:hrstd="t" o:hr="t" fillcolor="#a0a0a0" stroked="f"/>
        </w:pict>
      </w:r>
    </w:p>
    <w:p w14:paraId="00000013" w14:textId="6881447F" w:rsidR="00806A8C" w:rsidRPr="00A067CE" w:rsidRDefault="00000000" w:rsidP="00412B48">
      <w:pPr>
        <w:pStyle w:val="Heading1"/>
      </w:pPr>
      <w:bookmarkStart w:id="3" w:name="_gga6fcmonxrf" w:colFirst="0" w:colLast="0"/>
      <w:bookmarkEnd w:id="3"/>
      <w:r w:rsidRPr="00A067CE">
        <w:rPr>
          <w:rtl/>
        </w:rPr>
        <w:t>۳. روش‌های نمونه‌گیری</w:t>
      </w:r>
    </w:p>
    <w:p w14:paraId="00000014" w14:textId="77777777" w:rsidR="00806A8C" w:rsidRPr="00A067CE" w:rsidRDefault="00000000">
      <w:pPr>
        <w:bidi/>
        <w:spacing w:after="240"/>
        <w:rPr>
          <w:rFonts w:ascii="Arial" w:eastAsia="Arial" w:hAnsi="Arial" w:cs="B Nazanin"/>
          <w:color w:val="1B1C1D"/>
        </w:rPr>
      </w:pPr>
      <w:r w:rsidRPr="00A067CE">
        <w:rPr>
          <w:rFonts w:ascii="Arial" w:eastAsia="Arial" w:hAnsi="Arial" w:cs="B Nazanin"/>
          <w:color w:val="1B1C1D"/>
          <w:rtl/>
        </w:rPr>
        <w:t>پس از اعمال فیلترهای بالا، ممکن است حجم جمعیت «مشتریان فعال» همچنان برای پردازش محاسباتی (مثلاً چندین میلیون رکورد) بزرگ باشد. در این صورت، نمونه‌گیری از این جمعیت پالایش‌شده ضروری خواهد بود.</w:t>
      </w:r>
    </w:p>
    <w:p w14:paraId="00000015" w14:textId="77777777" w:rsidR="00806A8C" w:rsidRPr="00A067CE" w:rsidRDefault="00000000">
      <w:pPr>
        <w:bidi/>
        <w:spacing w:after="240"/>
        <w:rPr>
          <w:rFonts w:ascii="Arial" w:eastAsia="Arial" w:hAnsi="Arial" w:cs="B Nazanin"/>
          <w:b/>
          <w:color w:val="1B1C1D"/>
        </w:rPr>
      </w:pPr>
      <w:r w:rsidRPr="00A067CE">
        <w:rPr>
          <w:rFonts w:ascii="Arial" w:eastAsia="Arial" w:hAnsi="Arial" w:cs="B Nazanin"/>
          <w:b/>
          <w:color w:val="1B1C1D"/>
          <w:rtl/>
        </w:rPr>
        <w:t>روش پیشنهادی: نمونه‌گیری طبقه‌بندی‌شده (</w:t>
      </w:r>
      <w:r w:rsidRPr="00412B48">
        <w:rPr>
          <w:rFonts w:asciiTheme="minorHAnsi" w:eastAsia="Arial" w:hAnsiTheme="minorHAnsi" w:cs="B Nazanin"/>
          <w:b/>
          <w:color w:val="1B1C1D"/>
          <w:sz w:val="24"/>
          <w:szCs w:val="24"/>
        </w:rPr>
        <w:t>Stratified Sampling</w:t>
      </w:r>
      <w:r w:rsidRPr="00A067CE">
        <w:rPr>
          <w:rFonts w:ascii="Arial" w:eastAsia="Arial" w:hAnsi="Arial" w:cs="B Nazanin"/>
          <w:b/>
          <w:color w:val="1B1C1D"/>
          <w:rtl/>
        </w:rPr>
        <w:t>)</w:t>
      </w:r>
    </w:p>
    <w:p w14:paraId="00000016" w14:textId="24D54092" w:rsidR="00806A8C" w:rsidRPr="00A067CE" w:rsidRDefault="00000000">
      <w:pPr>
        <w:bidi/>
        <w:spacing w:after="240"/>
        <w:rPr>
          <w:rFonts w:ascii="Arial" w:eastAsia="Arial" w:hAnsi="Arial" w:cs="B Nazanin"/>
          <w:color w:val="1B1C1D"/>
        </w:rPr>
      </w:pPr>
      <w:r w:rsidRPr="00A067CE">
        <w:rPr>
          <w:rFonts w:ascii="Arial" w:eastAsia="Arial" w:hAnsi="Arial" w:cs="B Nazanin"/>
          <w:color w:val="1B1C1D"/>
          <w:rtl/>
        </w:rPr>
        <w:t>این روش بهترین گزینه برای تحلیل رفتاری است، زیرا تضمین می‌کند که زیرگروه‌های مهم و استراتژیک جمعیت مشتریان به نسبت صحیح در نمونه نهایی حضور داشته باشند. در این روش، جمعیت پالایش‌شده ابتدا به گروه‌های همگن و مجزا به نام «طبقات» تقسیم می‌شود و سپس از هر طبقه به صورت تصادفی و متناسب با اندازه‌اش نمونه‌گیری می‌شود.</w:t>
      </w:r>
    </w:p>
    <w:p w14:paraId="4D2BCFF1" w14:textId="77777777" w:rsidR="00412B48" w:rsidRDefault="00412B48">
      <w:pPr>
        <w:bidi/>
        <w:spacing w:after="120"/>
        <w:rPr>
          <w:rFonts w:ascii="Arial" w:eastAsia="Arial" w:hAnsi="Arial" w:cs="B Nazanin"/>
          <w:b/>
          <w:color w:val="1B1C1D"/>
          <w:rtl/>
        </w:rPr>
      </w:pPr>
    </w:p>
    <w:p w14:paraId="4E67453E" w14:textId="77777777" w:rsidR="000968AF" w:rsidRDefault="000968AF" w:rsidP="000968AF">
      <w:pPr>
        <w:bidi/>
        <w:spacing w:after="120"/>
        <w:rPr>
          <w:rFonts w:ascii="Arial" w:eastAsia="Arial" w:hAnsi="Arial" w:cs="B Nazanin"/>
          <w:b/>
          <w:color w:val="1B1C1D"/>
          <w:rtl/>
        </w:rPr>
      </w:pPr>
    </w:p>
    <w:p w14:paraId="00000017" w14:textId="0E4A22F5" w:rsidR="00806A8C" w:rsidRPr="003B365B" w:rsidRDefault="00000000" w:rsidP="00412B48">
      <w:pPr>
        <w:bidi/>
        <w:spacing w:after="120"/>
        <w:rPr>
          <w:rFonts w:ascii="Arial" w:eastAsia="Arial" w:hAnsi="Arial" w:cs="B Nazanin"/>
          <w:b/>
          <w:i/>
          <w:iCs/>
          <w:color w:val="1B1C1D"/>
        </w:rPr>
      </w:pPr>
      <w:r w:rsidRPr="003B365B">
        <w:rPr>
          <w:rFonts w:ascii="Arial" w:eastAsia="Arial" w:hAnsi="Arial" w:cs="B Nazanin"/>
          <w:b/>
          <w:i/>
          <w:iCs/>
          <w:color w:val="1B1C1D"/>
          <w:rtl/>
        </w:rPr>
        <w:lastRenderedPageBreak/>
        <w:t>طبقات پیشنهادی برای بانک توسعه تعاون:</w:t>
      </w:r>
    </w:p>
    <w:p w14:paraId="00000019" w14:textId="3727FEB6" w:rsidR="00806A8C" w:rsidRPr="00A067CE" w:rsidRDefault="00000000">
      <w:pPr>
        <w:numPr>
          <w:ilvl w:val="0"/>
          <w:numId w:val="1"/>
        </w:numPr>
        <w:pBdr>
          <w:right w:val="none" w:sz="0" w:space="3" w:color="auto"/>
        </w:pBdr>
        <w:bidi/>
        <w:jc w:val="left"/>
        <w:rPr>
          <w:rFonts w:cs="B Nazanin"/>
        </w:rPr>
      </w:pPr>
      <w:r w:rsidRPr="00A067CE">
        <w:rPr>
          <w:rFonts w:ascii="Arial" w:eastAsia="Arial" w:hAnsi="Arial" w:cs="B Nazanin"/>
          <w:b/>
          <w:color w:val="1B1C1D"/>
          <w:rtl/>
        </w:rPr>
        <w:t>اندازه مشتری:</w:t>
      </w:r>
      <w:r w:rsidRPr="00A067CE">
        <w:rPr>
          <w:rFonts w:ascii="Arial" w:eastAsia="Arial" w:hAnsi="Arial" w:cs="B Nazanin"/>
          <w:color w:val="1B1C1D"/>
          <w:rtl/>
        </w:rPr>
        <w:t xml:space="preserve"> تفکیک مشتریان حقیقی (خرد)، کسب‌وکارهای کوچک و متوسط (</w:t>
      </w:r>
      <w:r w:rsidRPr="000968AF">
        <w:rPr>
          <w:rFonts w:asciiTheme="minorHAnsi" w:eastAsia="Arial" w:hAnsiTheme="minorHAnsi" w:cs="B Nazanin"/>
          <w:b/>
          <w:color w:val="1B1C1D"/>
          <w:sz w:val="24"/>
          <w:szCs w:val="24"/>
        </w:rPr>
        <w:t>SME</w:t>
      </w:r>
      <w:r w:rsidRPr="00A067CE">
        <w:rPr>
          <w:rFonts w:ascii="Arial" w:eastAsia="Arial" w:hAnsi="Arial" w:cs="B Nazanin"/>
          <w:color w:val="1B1C1D"/>
          <w:rtl/>
        </w:rPr>
        <w:t>) و مشتریان کلان.</w:t>
      </w:r>
    </w:p>
    <w:p w14:paraId="0000001B" w14:textId="77777777" w:rsidR="00806A8C" w:rsidRPr="00A067CE" w:rsidRDefault="00000000">
      <w:pPr>
        <w:numPr>
          <w:ilvl w:val="0"/>
          <w:numId w:val="1"/>
        </w:numPr>
        <w:pBdr>
          <w:right w:val="none" w:sz="0" w:space="3" w:color="auto"/>
        </w:pBdr>
        <w:bidi/>
        <w:jc w:val="left"/>
        <w:rPr>
          <w:rFonts w:cs="B Nazanin"/>
        </w:rPr>
      </w:pPr>
      <w:r w:rsidRPr="00A067CE">
        <w:rPr>
          <w:rFonts w:ascii="Arial" w:eastAsia="Arial" w:hAnsi="Arial" w:cs="B Nazanin"/>
          <w:b/>
          <w:color w:val="1B1C1D"/>
          <w:rtl/>
        </w:rPr>
        <w:t>نوع محصول اصلی:</w:t>
      </w:r>
      <w:r w:rsidRPr="00A067CE">
        <w:rPr>
          <w:rFonts w:ascii="Arial" w:eastAsia="Arial" w:hAnsi="Arial" w:cs="B Nazanin"/>
          <w:color w:val="1B1C1D"/>
          <w:rtl/>
        </w:rPr>
        <w:t xml:space="preserve"> مشتریان صرفاً سپرده‌گذار، صرفاً تسهیلات‌گیرنده، یا دارای هر دو محصول. این طبقه برای درک نیازهای متقابل مشتریان حیاتی است.</w:t>
      </w:r>
    </w:p>
    <w:p w14:paraId="0000001C" w14:textId="4EF9EDF9" w:rsidR="00806A8C" w:rsidRPr="003B365B" w:rsidRDefault="000968AF" w:rsidP="003B365B">
      <w:pPr>
        <w:numPr>
          <w:ilvl w:val="0"/>
          <w:numId w:val="1"/>
        </w:numPr>
        <w:pBdr>
          <w:right w:val="none" w:sz="0" w:space="3" w:color="auto"/>
        </w:pBdr>
        <w:bidi/>
        <w:jc w:val="left"/>
        <w:rPr>
          <w:rFonts w:cs="B Nazanin"/>
        </w:rPr>
      </w:pPr>
      <w:r>
        <w:rPr>
          <w:rFonts w:ascii="Arial" w:eastAsia="Arial" w:hAnsi="Arial" w:cs="B Nazanin" w:hint="cs"/>
          <w:b/>
          <w:color w:val="1B1C1D"/>
          <w:rtl/>
        </w:rPr>
        <w:t>الگوهای</w:t>
      </w:r>
      <w:r w:rsidR="00000000" w:rsidRPr="00A067CE">
        <w:rPr>
          <w:rFonts w:ascii="Arial" w:eastAsia="Arial" w:hAnsi="Arial" w:cs="B Nazanin"/>
          <w:b/>
          <w:color w:val="1B1C1D"/>
          <w:rtl/>
        </w:rPr>
        <w:t xml:space="preserve"> رفتاری:</w:t>
      </w:r>
      <w:r w:rsidR="00000000" w:rsidRPr="00A067CE">
        <w:rPr>
          <w:rFonts w:ascii="Arial" w:eastAsia="Arial" w:hAnsi="Arial" w:cs="B Nazanin"/>
          <w:color w:val="1B1C1D"/>
          <w:rtl/>
        </w:rPr>
        <w:t xml:space="preserve"> می‌توان بر اساس امتیاز </w:t>
      </w:r>
      <w:r w:rsidR="00000000" w:rsidRPr="000968AF">
        <w:rPr>
          <w:rFonts w:asciiTheme="minorHAnsi" w:eastAsia="Arial" w:hAnsiTheme="minorHAnsi" w:cs="B Nazanin"/>
          <w:b/>
          <w:color w:val="1B1C1D"/>
          <w:sz w:val="24"/>
          <w:szCs w:val="24"/>
        </w:rPr>
        <w:t>RFM</w:t>
      </w:r>
      <w:r w:rsidR="00000000" w:rsidRPr="00A067CE">
        <w:rPr>
          <w:rFonts w:ascii="Arial" w:eastAsia="Arial" w:hAnsi="Arial" w:cs="B Nazanin"/>
          <w:color w:val="1B1C1D"/>
          <w:rtl/>
        </w:rPr>
        <w:t xml:space="preserve"> مشتریان پالایش‌شده، آن‌ها را به چند </w:t>
      </w:r>
      <w:r>
        <w:rPr>
          <w:rFonts w:ascii="Arial" w:eastAsia="Arial" w:hAnsi="Arial" w:cs="B Nazanin" w:hint="cs"/>
          <w:color w:val="1B1C1D"/>
          <w:rtl/>
        </w:rPr>
        <w:t>الگو</w:t>
      </w:r>
      <w:r w:rsidR="00000000" w:rsidRPr="00A067CE">
        <w:rPr>
          <w:rFonts w:ascii="Arial" w:eastAsia="Arial" w:hAnsi="Arial" w:cs="B Nazanin"/>
          <w:color w:val="1B1C1D"/>
          <w:rtl/>
        </w:rPr>
        <w:t xml:space="preserve"> (مثلاً مشتریان با ارزش بالا، متوسط و پایین) تقسیم کرد تا از حضور تمام این گروه‌ها در نمونه اطمینان حاصل شود.</w:t>
      </w:r>
    </w:p>
    <w:p w14:paraId="713A2FAD" w14:textId="77777777" w:rsidR="003B365B" w:rsidRPr="00A067CE" w:rsidRDefault="003B365B" w:rsidP="003B365B">
      <w:pPr>
        <w:numPr>
          <w:ilvl w:val="0"/>
          <w:numId w:val="1"/>
        </w:numPr>
        <w:pBdr>
          <w:right w:val="none" w:sz="0" w:space="3" w:color="auto"/>
        </w:pBdr>
        <w:bidi/>
        <w:jc w:val="left"/>
        <w:rPr>
          <w:rFonts w:cs="B Nazanin"/>
        </w:rPr>
      </w:pPr>
      <w:r w:rsidRPr="00A067CE">
        <w:rPr>
          <w:rFonts w:ascii="Arial" w:eastAsia="Arial" w:hAnsi="Arial" w:cs="B Nazanin"/>
          <w:b/>
          <w:color w:val="1B1C1D"/>
          <w:rtl/>
        </w:rPr>
        <w:t>منطقه جغرافیایی:</w:t>
      </w:r>
      <w:r w:rsidRPr="00A067CE">
        <w:rPr>
          <w:rFonts w:ascii="Arial" w:eastAsia="Arial" w:hAnsi="Arial" w:cs="B Nazanin"/>
          <w:color w:val="1B1C1D"/>
          <w:rtl/>
        </w:rPr>
        <w:t xml:space="preserve"> استان یا منطقه کلان برای تحلیل الگوهای منطقه‌ای.</w:t>
      </w:r>
    </w:p>
    <w:p w14:paraId="0000001D" w14:textId="77777777" w:rsidR="00806A8C" w:rsidRPr="00A067CE" w:rsidRDefault="00000000">
      <w:pPr>
        <w:bidi/>
        <w:spacing w:after="120"/>
        <w:rPr>
          <w:rFonts w:ascii="Arial" w:eastAsia="Arial" w:hAnsi="Arial" w:cs="B Nazanin"/>
          <w:b/>
          <w:color w:val="1B1C1D"/>
        </w:rPr>
      </w:pPr>
      <w:r w:rsidRPr="00A067CE">
        <w:rPr>
          <w:rFonts w:ascii="Arial" w:eastAsia="Arial" w:hAnsi="Arial" w:cs="B Nazanin"/>
          <w:b/>
          <w:color w:val="1B1C1D"/>
          <w:rtl/>
        </w:rPr>
        <w:t>مقایسه با سایر روش‌ها:</w:t>
      </w:r>
    </w:p>
    <w:p w14:paraId="0000001E" w14:textId="12AFF11D" w:rsidR="00806A8C" w:rsidRPr="00A067CE" w:rsidRDefault="00000000">
      <w:pPr>
        <w:numPr>
          <w:ilvl w:val="0"/>
          <w:numId w:val="6"/>
        </w:numPr>
        <w:pBdr>
          <w:right w:val="none" w:sz="0" w:space="3" w:color="auto"/>
        </w:pBdr>
        <w:bidi/>
        <w:jc w:val="left"/>
        <w:rPr>
          <w:rFonts w:cs="B Nazanin"/>
        </w:rPr>
      </w:pPr>
      <w:r w:rsidRPr="00A067CE">
        <w:rPr>
          <w:rFonts w:ascii="Arial" w:eastAsia="Arial" w:hAnsi="Arial" w:cs="B Nazanin"/>
          <w:b/>
          <w:color w:val="1B1C1D"/>
          <w:rtl/>
        </w:rPr>
        <w:t>نمونه‌گیری تصادفی ساده</w:t>
      </w:r>
      <w:r w:rsidR="003B365B">
        <w:rPr>
          <w:rFonts w:ascii="Arial" w:eastAsia="Arial" w:hAnsi="Arial" w:cs="B Nazanin" w:hint="cs"/>
          <w:b/>
          <w:color w:val="1B1C1D"/>
          <w:rtl/>
        </w:rPr>
        <w:t>:</w:t>
      </w:r>
      <w:r w:rsidRPr="00A067CE">
        <w:rPr>
          <w:rFonts w:ascii="Arial" w:eastAsia="Arial" w:hAnsi="Arial" w:cs="B Nazanin"/>
          <w:color w:val="1B1C1D"/>
          <w:rtl/>
        </w:rPr>
        <w:t xml:space="preserve"> ریسک انتخاب نامتناسب مشتریان از گروه‌های کوچک اما استراتژیک (مانند مشتریان کلان یا مشتریان یک بخش اقتصادی خاص) را به همراه دارد و ممکن است نماینده خوبی برای کل جمعیت نباشد.</w:t>
      </w:r>
    </w:p>
    <w:p w14:paraId="0000001F" w14:textId="46A99DEE" w:rsidR="00806A8C" w:rsidRPr="00A067CE" w:rsidRDefault="00000000">
      <w:pPr>
        <w:numPr>
          <w:ilvl w:val="0"/>
          <w:numId w:val="6"/>
        </w:numPr>
        <w:pBdr>
          <w:right w:val="none" w:sz="0" w:space="3" w:color="auto"/>
        </w:pBdr>
        <w:bidi/>
        <w:jc w:val="left"/>
        <w:rPr>
          <w:rFonts w:cs="B Nazanin"/>
        </w:rPr>
      </w:pPr>
      <w:r w:rsidRPr="00A067CE">
        <w:rPr>
          <w:rFonts w:ascii="Arial" w:eastAsia="Arial" w:hAnsi="Arial" w:cs="B Nazanin"/>
          <w:b/>
          <w:color w:val="1B1C1D"/>
          <w:rtl/>
        </w:rPr>
        <w:t>نمونه‌گیری سیستماتیک</w:t>
      </w:r>
      <w:r w:rsidR="003B365B">
        <w:rPr>
          <w:rFonts w:ascii="Arial" w:eastAsia="Arial" w:hAnsi="Arial" w:cs="B Nazanin" w:hint="cs"/>
          <w:b/>
          <w:color w:val="1B1C1D"/>
          <w:rtl/>
        </w:rPr>
        <w:t xml:space="preserve">: </w:t>
      </w:r>
      <w:r w:rsidRPr="00A067CE">
        <w:rPr>
          <w:rFonts w:ascii="Arial" w:eastAsia="Arial" w:hAnsi="Arial" w:cs="B Nazanin"/>
          <w:color w:val="1B1C1D"/>
          <w:rtl/>
        </w:rPr>
        <w:t>اگر ترتیب داده‌ها دارای الگوی پنهانی باشد (مثلاً بر اساس تاریخ افتتاح حساب)، ممکن است منجر به نمونه‌ای اریب (</w:t>
      </w:r>
      <w:r w:rsidRPr="00A067CE">
        <w:rPr>
          <w:rFonts w:ascii="Arial" w:eastAsia="Arial" w:hAnsi="Arial" w:cs="B Nazanin"/>
          <w:color w:val="1B1C1D"/>
        </w:rPr>
        <w:t>biased</w:t>
      </w:r>
      <w:r w:rsidRPr="00A067CE">
        <w:rPr>
          <w:rFonts w:ascii="Arial" w:eastAsia="Arial" w:hAnsi="Arial" w:cs="B Nazanin"/>
          <w:color w:val="1B1C1D"/>
          <w:rtl/>
        </w:rPr>
        <w:t>) شود.</w:t>
      </w:r>
    </w:p>
    <w:p w14:paraId="00000020" w14:textId="6E82FA69" w:rsidR="00806A8C" w:rsidRPr="00A067CE" w:rsidRDefault="00000000">
      <w:pPr>
        <w:numPr>
          <w:ilvl w:val="0"/>
          <w:numId w:val="6"/>
        </w:numPr>
        <w:pBdr>
          <w:right w:val="none" w:sz="0" w:space="3" w:color="auto"/>
        </w:pBdr>
        <w:bidi/>
        <w:spacing w:after="360"/>
        <w:jc w:val="left"/>
        <w:rPr>
          <w:rFonts w:cs="B Nazanin"/>
        </w:rPr>
      </w:pPr>
      <w:r w:rsidRPr="00A067CE">
        <w:rPr>
          <w:rFonts w:ascii="Arial" w:eastAsia="Arial" w:hAnsi="Arial" w:cs="B Nazanin"/>
          <w:b/>
          <w:color w:val="1B1C1D"/>
          <w:rtl/>
        </w:rPr>
        <w:t>نمونه‌گیری خوشه‌ای</w:t>
      </w:r>
      <w:r w:rsidR="003B365B">
        <w:rPr>
          <w:rFonts w:ascii="Arial" w:eastAsia="Arial" w:hAnsi="Arial" w:cs="B Nazanin" w:hint="cs"/>
          <w:b/>
          <w:color w:val="1B1C1D"/>
          <w:rtl/>
        </w:rPr>
        <w:t>:</w:t>
      </w:r>
      <w:r w:rsidRPr="00A067CE">
        <w:rPr>
          <w:rFonts w:ascii="Arial" w:eastAsia="Arial" w:hAnsi="Arial" w:cs="B Nazanin"/>
          <w:color w:val="1B1C1D"/>
          <w:rtl/>
        </w:rPr>
        <w:t xml:space="preserve"> معمولاً برای نمونه‌گیری جغرافیایی (مانند انتخاب تصادفی چند شعبه و بررسی تمام مشتریان آن‌ها) استفاده می‌شود. این روش برای تحلیل رفتار فردی مناسب نیست، زیرا مشتریان یک شعبه ممکن است همگنی بیشتری نسبت به کل جمعیت داشته باشند و واریانس واقعی رفتارها را نمایندگی نکنند.</w:t>
      </w:r>
    </w:p>
    <w:p w14:paraId="00000022" w14:textId="77777777" w:rsidR="00806A8C" w:rsidRPr="00A067CE" w:rsidRDefault="00000000">
      <w:pPr>
        <w:bidi/>
        <w:rPr>
          <w:rFonts w:ascii="Arial" w:eastAsia="Arial" w:hAnsi="Arial" w:cs="B Nazanin"/>
          <w:color w:val="1B1C1D"/>
        </w:rPr>
      </w:pPr>
      <w:r w:rsidRPr="00A067CE">
        <w:rPr>
          <w:rFonts w:cs="B Nazanin"/>
        </w:rPr>
        <w:pict w14:anchorId="6F48FF5B">
          <v:rect id="_x0000_i1029" style="width:0;height:1.5pt" o:hralign="center" o:hrstd="t" o:hr="t" fillcolor="#a0a0a0" stroked="f"/>
        </w:pict>
      </w:r>
    </w:p>
    <w:p w14:paraId="0000003C" w14:textId="77D5DF2B" w:rsidR="00806A8C" w:rsidRPr="00A067CE" w:rsidRDefault="00806A8C">
      <w:pPr>
        <w:bidi/>
        <w:rPr>
          <w:rFonts w:ascii="Arial" w:eastAsia="Arial" w:hAnsi="Arial" w:cs="B Nazanin"/>
          <w:color w:val="1B1C1D"/>
        </w:rPr>
      </w:pPr>
      <w:bookmarkStart w:id="4" w:name="_b8h23fyxkjjl" w:colFirst="0" w:colLast="0"/>
      <w:bookmarkStart w:id="5" w:name="_t1m1k4nwi3l3" w:colFirst="0" w:colLast="0"/>
      <w:bookmarkEnd w:id="4"/>
      <w:bookmarkEnd w:id="5"/>
    </w:p>
    <w:p w14:paraId="0000003D" w14:textId="61C4487C" w:rsidR="00806A8C" w:rsidRPr="00A067CE" w:rsidRDefault="00000000" w:rsidP="003B365B">
      <w:pPr>
        <w:pStyle w:val="Heading1"/>
      </w:pPr>
      <w:bookmarkStart w:id="6" w:name="_2wp3xirbav0b" w:colFirst="0" w:colLast="0"/>
      <w:bookmarkEnd w:id="6"/>
      <w:r w:rsidRPr="00A067CE">
        <w:rPr>
          <w:rtl/>
        </w:rPr>
        <w:t>منابع</w:t>
      </w:r>
      <w:r w:rsidR="003B365B">
        <w:rPr>
          <w:rFonts w:hint="cs"/>
          <w:rtl/>
        </w:rPr>
        <w:t xml:space="preserve"> مورد استفاده</w:t>
      </w:r>
    </w:p>
    <w:p w14:paraId="00000041" w14:textId="77777777" w:rsidR="00806A8C" w:rsidRPr="00A067CE" w:rsidRDefault="00000000" w:rsidP="003B365B">
      <w:pPr>
        <w:spacing w:after="240"/>
        <w:rPr>
          <w:rFonts w:ascii="Arial" w:eastAsia="Arial" w:hAnsi="Arial" w:cs="B Nazanin"/>
          <w:color w:val="0B57D0"/>
          <w:u w:val="single"/>
        </w:rPr>
      </w:pPr>
      <w:proofErr w:type="spellStart"/>
      <w:r w:rsidRPr="00A067CE">
        <w:rPr>
          <w:rFonts w:ascii="Arial" w:eastAsia="Arial" w:hAnsi="Arial" w:cs="B Nazanin"/>
          <w:color w:val="1B1C1D"/>
        </w:rPr>
        <w:t>Rousseeuw</w:t>
      </w:r>
      <w:proofErr w:type="spellEnd"/>
      <w:r w:rsidRPr="00A067CE">
        <w:rPr>
          <w:rFonts w:ascii="Arial" w:eastAsia="Arial" w:hAnsi="Arial" w:cs="B Nazanin"/>
          <w:color w:val="1B1C1D"/>
        </w:rPr>
        <w:t xml:space="preserve">, P. J. (1987). Silhouettes: A graphical aid to the interpretation and validation of cluster analysis. </w:t>
      </w:r>
      <w:r w:rsidRPr="00A067CE">
        <w:rPr>
          <w:rFonts w:ascii="Arial" w:eastAsia="Arial" w:hAnsi="Arial" w:cs="B Nazanin"/>
          <w:i/>
          <w:color w:val="1B1C1D"/>
        </w:rPr>
        <w:t>Journal of Computational and Applied Mathematics, 20</w:t>
      </w:r>
      <w:r w:rsidRPr="00A067CE">
        <w:rPr>
          <w:rFonts w:ascii="Arial" w:eastAsia="Arial" w:hAnsi="Arial" w:cs="B Nazanin"/>
          <w:color w:val="1B1C1D"/>
        </w:rPr>
        <w:t>, 53–65.</w:t>
      </w:r>
      <w:hyperlink r:id="rId8">
        <w:r w:rsidRPr="00A067CE">
          <w:rPr>
            <w:rFonts w:ascii="Arial" w:eastAsia="Arial" w:hAnsi="Arial" w:cs="B Nazanin"/>
            <w:color w:val="1B1C1D"/>
          </w:rPr>
          <w:t xml:space="preserve"> </w:t>
        </w:r>
      </w:hyperlink>
      <w:hyperlink r:id="rId9">
        <w:r w:rsidRPr="00A067CE">
          <w:rPr>
            <w:rFonts w:ascii="Arial" w:eastAsia="Arial" w:hAnsi="Arial" w:cs="B Nazanin"/>
            <w:color w:val="0B57D0"/>
            <w:u w:val="single"/>
          </w:rPr>
          <w:t>https://doi.org/10.1016/0377-0427(87)90125-7</w:t>
        </w:r>
      </w:hyperlink>
    </w:p>
    <w:p w14:paraId="00000042" w14:textId="77777777" w:rsidR="00806A8C" w:rsidRPr="00A067CE" w:rsidRDefault="00000000" w:rsidP="003B365B">
      <w:pPr>
        <w:spacing w:after="240"/>
        <w:rPr>
          <w:rFonts w:ascii="Arial" w:eastAsia="Arial" w:hAnsi="Arial" w:cs="B Nazanin"/>
          <w:color w:val="0B57D0"/>
          <w:u w:val="single"/>
        </w:rPr>
      </w:pPr>
      <w:r w:rsidRPr="00A067CE">
        <w:rPr>
          <w:rFonts w:ascii="Arial" w:eastAsia="Arial" w:hAnsi="Arial" w:cs="B Nazanin"/>
          <w:color w:val="1B1C1D"/>
        </w:rPr>
        <w:t xml:space="preserve">Sarvari, H., Alp, A., &amp; </w:t>
      </w:r>
      <w:proofErr w:type="spellStart"/>
      <w:r w:rsidRPr="00A067CE">
        <w:rPr>
          <w:rFonts w:ascii="Arial" w:eastAsia="Arial" w:hAnsi="Arial" w:cs="B Nazanin"/>
          <w:color w:val="1B1C1D"/>
        </w:rPr>
        <w:t>Ustundag</w:t>
      </w:r>
      <w:proofErr w:type="spellEnd"/>
      <w:r w:rsidRPr="00A067CE">
        <w:rPr>
          <w:rFonts w:ascii="Arial" w:eastAsia="Arial" w:hAnsi="Arial" w:cs="B Nazanin"/>
          <w:color w:val="1B1C1D"/>
        </w:rPr>
        <w:t xml:space="preserve">, A. (2016). A new clustering method for customer segmentation in the banking sector. </w:t>
      </w:r>
      <w:r w:rsidRPr="00A067CE">
        <w:rPr>
          <w:rFonts w:ascii="Arial" w:eastAsia="Arial" w:hAnsi="Arial" w:cs="B Nazanin"/>
          <w:i/>
          <w:color w:val="1B1C1D"/>
        </w:rPr>
        <w:t>Industrial Management &amp; Data Systems, 116</w:t>
      </w:r>
      <w:r w:rsidRPr="00A067CE">
        <w:rPr>
          <w:rFonts w:ascii="Arial" w:eastAsia="Arial" w:hAnsi="Arial" w:cs="B Nazanin"/>
          <w:color w:val="1B1C1D"/>
        </w:rPr>
        <w:t>(7), 1469-1486.</w:t>
      </w:r>
      <w:hyperlink r:id="rId10">
        <w:r w:rsidRPr="00A067CE">
          <w:rPr>
            <w:rFonts w:ascii="Arial" w:eastAsia="Arial" w:hAnsi="Arial" w:cs="B Nazanin"/>
            <w:color w:val="1B1C1D"/>
          </w:rPr>
          <w:t xml:space="preserve"> </w:t>
        </w:r>
      </w:hyperlink>
      <w:hyperlink r:id="rId11">
        <w:r w:rsidRPr="00A067CE">
          <w:rPr>
            <w:rFonts w:ascii="Arial" w:eastAsia="Arial" w:hAnsi="Arial" w:cs="B Nazanin"/>
            <w:color w:val="0B57D0"/>
            <w:u w:val="single"/>
          </w:rPr>
          <w:t>https://doi.org/10.1108/IMDS-09-2015-0391</w:t>
        </w:r>
      </w:hyperlink>
    </w:p>
    <w:p w14:paraId="00000043" w14:textId="77777777" w:rsidR="00806A8C" w:rsidRPr="00A067CE" w:rsidRDefault="00000000" w:rsidP="003B365B">
      <w:pPr>
        <w:spacing w:after="240"/>
        <w:rPr>
          <w:rFonts w:ascii="Arial" w:eastAsia="Arial" w:hAnsi="Arial" w:cs="B Nazanin"/>
          <w:color w:val="0B57D0"/>
          <w:u w:val="single"/>
        </w:rPr>
      </w:pPr>
      <w:r w:rsidRPr="00A067CE">
        <w:rPr>
          <w:rFonts w:ascii="Arial" w:eastAsia="Arial" w:hAnsi="Arial" w:cs="B Nazanin"/>
          <w:color w:val="1B1C1D"/>
        </w:rPr>
        <w:t xml:space="preserve">Tired, T., &amp; </w:t>
      </w:r>
      <w:proofErr w:type="spellStart"/>
      <w:r w:rsidRPr="00A067CE">
        <w:rPr>
          <w:rFonts w:ascii="Arial" w:eastAsia="Arial" w:hAnsi="Arial" w:cs="B Nazanin"/>
          <w:color w:val="1B1C1D"/>
        </w:rPr>
        <w:t>Tsiptsis</w:t>
      </w:r>
      <w:proofErr w:type="spellEnd"/>
      <w:r w:rsidRPr="00A067CE">
        <w:rPr>
          <w:rFonts w:ascii="Arial" w:eastAsia="Arial" w:hAnsi="Arial" w:cs="B Nazanin"/>
          <w:color w:val="1B1C1D"/>
        </w:rPr>
        <w:t xml:space="preserve">, K. (2016). </w:t>
      </w:r>
      <w:r w:rsidRPr="00A067CE">
        <w:rPr>
          <w:rFonts w:ascii="Arial" w:eastAsia="Arial" w:hAnsi="Arial" w:cs="B Nazanin"/>
          <w:i/>
          <w:color w:val="1B1C1D"/>
        </w:rPr>
        <w:t>Data mining techniques in CRM: Inside customer segmentation</w:t>
      </w:r>
      <w:r w:rsidRPr="00A067CE">
        <w:rPr>
          <w:rFonts w:ascii="Arial" w:eastAsia="Arial" w:hAnsi="Arial" w:cs="B Nazanin"/>
          <w:color w:val="1B1C1D"/>
        </w:rPr>
        <w:t>. John Wiley &amp; Sons.</w:t>
      </w:r>
      <w:hyperlink r:id="rId12">
        <w:r w:rsidRPr="00A067CE">
          <w:rPr>
            <w:rFonts w:ascii="Arial" w:eastAsia="Arial" w:hAnsi="Arial" w:cs="B Nazanin"/>
            <w:color w:val="1B1C1D"/>
          </w:rPr>
          <w:t xml:space="preserve"> </w:t>
        </w:r>
      </w:hyperlink>
      <w:hyperlink r:id="rId13">
        <w:r w:rsidRPr="00A067CE">
          <w:rPr>
            <w:rFonts w:ascii="Arial" w:eastAsia="Arial" w:hAnsi="Arial" w:cs="B Nazanin"/>
            <w:color w:val="0B57D0"/>
            <w:u w:val="single"/>
          </w:rPr>
          <w:t>https://www.wiley.com/en-us/Data+Mining+Techniques+in+CRM%3A+Inside+Customer+Segmentation-p-9781119999324</w:t>
        </w:r>
      </w:hyperlink>
    </w:p>
    <w:p w14:paraId="00000044" w14:textId="77777777" w:rsidR="00806A8C" w:rsidRPr="00A067CE" w:rsidRDefault="00806A8C">
      <w:pPr>
        <w:bidi/>
        <w:rPr>
          <w:rFonts w:cs="B Nazanin"/>
        </w:rPr>
      </w:pPr>
    </w:p>
    <w:sectPr w:rsidR="00806A8C" w:rsidRPr="00A067CE">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9E79F" w14:textId="77777777" w:rsidR="008F4205" w:rsidRDefault="008F4205" w:rsidP="00412B48">
      <w:pPr>
        <w:spacing w:line="240" w:lineRule="auto"/>
      </w:pPr>
      <w:r>
        <w:separator/>
      </w:r>
    </w:p>
  </w:endnote>
  <w:endnote w:type="continuationSeparator" w:id="0">
    <w:p w14:paraId="44E9BC15" w14:textId="77777777" w:rsidR="008F4205" w:rsidRDefault="008F4205" w:rsidP="00412B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3B6031B4-9CDA-4933-9F4B-E7B5AE9CE912}"/>
    <w:embedItalic r:id="rId2" w:fontKey="{E30AF96C-A5A7-4999-8254-A0D11C6CD027}"/>
  </w:font>
  <w:font w:name="B Nazanin">
    <w:panose1 w:val="00000400000000000000"/>
    <w:charset w:val="B2"/>
    <w:family w:val="auto"/>
    <w:pitch w:val="variable"/>
    <w:sig w:usb0="00002001" w:usb1="80000000" w:usb2="00000008" w:usb3="00000000" w:csb0="00000040" w:csb1="00000000"/>
    <w:embedRegular r:id="rId3" w:fontKey="{5CCB3BC5-FC8C-4DAF-BE5B-87D31F80BA09}"/>
    <w:embedBold r:id="rId4" w:fontKey="{1E728FB2-96C8-462C-B693-9DA35BF5B618}"/>
    <w:embedItalic r:id="rId5" w:fontKey="{7E0F83F3-8A7E-4477-8240-5FB3C33CACA2}"/>
  </w:font>
  <w:font w:name="B Titr">
    <w:panose1 w:val="00000700000000000000"/>
    <w:charset w:val="B2"/>
    <w:family w:val="auto"/>
    <w:pitch w:val="variable"/>
    <w:sig w:usb0="00002001" w:usb1="80000000" w:usb2="00000008" w:usb3="00000000" w:csb0="00000040" w:csb1="00000000"/>
    <w:embedRegular r:id="rId6" w:fontKey="{70C9188B-8C50-4E12-9F93-229EB4927E16}"/>
  </w:font>
  <w:font w:name="Cambria">
    <w:panose1 w:val="02040503050406030204"/>
    <w:charset w:val="00"/>
    <w:family w:val="roman"/>
    <w:pitch w:val="variable"/>
    <w:sig w:usb0="E00006FF" w:usb1="420024FF" w:usb2="02000000" w:usb3="00000000" w:csb0="0000019F" w:csb1="00000000"/>
    <w:embedRegular r:id="rId7" w:fontKey="{6A6AF40A-0D13-4583-BAD2-8A4600E5F210}"/>
    <w:embedBold r:id="rId8" w:fontKey="{7EF141FD-B9F5-4ED8-8863-C518EF2D90C0}"/>
  </w:font>
  <w:font w:name="Calibri">
    <w:panose1 w:val="020F0502020204030204"/>
    <w:charset w:val="00"/>
    <w:family w:val="swiss"/>
    <w:pitch w:val="variable"/>
    <w:sig w:usb0="E4002EFF" w:usb1="C000247B" w:usb2="00000009" w:usb3="00000000" w:csb0="000001FF" w:csb1="00000000"/>
    <w:embedRegular r:id="rId9" w:fontKey="{27B362F8-960B-4DAA-8E5A-58DED4428EB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202EB" w14:textId="77777777" w:rsidR="008F4205" w:rsidRDefault="008F4205" w:rsidP="00412B48">
      <w:pPr>
        <w:spacing w:line="240" w:lineRule="auto"/>
      </w:pPr>
      <w:r>
        <w:separator/>
      </w:r>
    </w:p>
  </w:footnote>
  <w:footnote w:type="continuationSeparator" w:id="0">
    <w:p w14:paraId="4E98B8C9" w14:textId="77777777" w:rsidR="008F4205" w:rsidRDefault="008F4205" w:rsidP="00412B48">
      <w:pPr>
        <w:spacing w:line="240" w:lineRule="auto"/>
      </w:pPr>
      <w:r>
        <w:continuationSeparator/>
      </w:r>
    </w:p>
  </w:footnote>
  <w:footnote w:id="1">
    <w:p w14:paraId="13353AE0" w14:textId="66F35093" w:rsidR="00412B48" w:rsidRPr="00412B48" w:rsidRDefault="00412B48">
      <w:pPr>
        <w:pStyle w:val="FootnoteText"/>
        <w:rPr>
          <w:rFonts w:cstheme="minorBidi" w:hint="cs"/>
          <w:sz w:val="18"/>
          <w:szCs w:val="18"/>
          <w:rtl/>
          <w:lang w:bidi="fa-IR"/>
        </w:rPr>
      </w:pPr>
      <w:r w:rsidRPr="00412B48">
        <w:rPr>
          <w:rStyle w:val="FootnoteReference"/>
          <w:sz w:val="18"/>
          <w:szCs w:val="18"/>
        </w:rPr>
        <w:footnoteRef/>
      </w:r>
      <w:r w:rsidRPr="00412B48">
        <w:rPr>
          <w:sz w:val="18"/>
          <w:szCs w:val="18"/>
        </w:rPr>
        <w:t xml:space="preserve"> </w:t>
      </w:r>
      <w:r w:rsidRPr="00412B48">
        <w:rPr>
          <w:rFonts w:asciiTheme="minorHAnsi" w:eastAsia="Arial" w:hAnsiTheme="minorHAnsi" w:cs="B Nazanin"/>
          <w:color w:val="1B1C1D"/>
          <w:sz w:val="22"/>
          <w:szCs w:val="22"/>
        </w:rPr>
        <w:t>Recency, Frequency, Monetary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D72A3"/>
    <w:multiLevelType w:val="multilevel"/>
    <w:tmpl w:val="5A1679F4"/>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387A8D"/>
    <w:multiLevelType w:val="multilevel"/>
    <w:tmpl w:val="AFCA8626"/>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D642136"/>
    <w:multiLevelType w:val="multilevel"/>
    <w:tmpl w:val="B4C09EAA"/>
    <w:lvl w:ilvl="0">
      <w:start w:val="1"/>
      <w:numFmt w:val="decimal"/>
      <w:lvlText w:val="%1."/>
      <w:lvlJc w:val="left"/>
      <w:pPr>
        <w:ind w:left="720" w:hanging="360"/>
      </w:pPr>
      <w:rPr>
        <w:rFonts w:ascii="Arial" w:eastAsia="Arial" w:hAnsi="Arial" w:cs="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3E0C013B"/>
    <w:multiLevelType w:val="multilevel"/>
    <w:tmpl w:val="A21ECF92"/>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EE17BA3"/>
    <w:multiLevelType w:val="multilevel"/>
    <w:tmpl w:val="C82CB89A"/>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86E6EB2"/>
    <w:multiLevelType w:val="multilevel"/>
    <w:tmpl w:val="CE2E4926"/>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9602131"/>
    <w:multiLevelType w:val="multilevel"/>
    <w:tmpl w:val="21809AD4"/>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53479395">
    <w:abstractNumId w:val="0"/>
  </w:num>
  <w:num w:numId="2" w16cid:durableId="190848244">
    <w:abstractNumId w:val="5"/>
  </w:num>
  <w:num w:numId="3" w16cid:durableId="1413043899">
    <w:abstractNumId w:val="2"/>
  </w:num>
  <w:num w:numId="4" w16cid:durableId="895748076">
    <w:abstractNumId w:val="1"/>
  </w:num>
  <w:num w:numId="5" w16cid:durableId="1585453217">
    <w:abstractNumId w:val="4"/>
  </w:num>
  <w:num w:numId="6" w16cid:durableId="960527774">
    <w:abstractNumId w:val="3"/>
  </w:num>
  <w:num w:numId="7" w16cid:durableId="15168420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A8C"/>
    <w:rsid w:val="000968AF"/>
    <w:rsid w:val="003B365B"/>
    <w:rsid w:val="00412B48"/>
    <w:rsid w:val="00806A8C"/>
    <w:rsid w:val="008F4205"/>
    <w:rsid w:val="008F7579"/>
    <w:rsid w:val="00A067CE"/>
    <w:rsid w:val="00AE42A6"/>
    <w:rsid w:val="00CA5A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786D5"/>
  <w15:docId w15:val="{AFB7759F-6AE8-4BA9-9D1B-B10A93825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6"/>
        <w:szCs w:val="26"/>
        <w:lang w:val="en"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4"/>
    <w:next w:val="Normal"/>
    <w:uiPriority w:val="9"/>
    <w:qFormat/>
    <w:rsid w:val="00412B48"/>
    <w:pPr>
      <w:keepNext w:val="0"/>
      <w:keepLines w:val="0"/>
      <w:bidi/>
      <w:spacing w:before="0" w:after="120"/>
      <w:outlineLvl w:val="0"/>
    </w:pPr>
    <w:rPr>
      <w:rFonts w:ascii="Arial" w:eastAsia="Arial" w:hAnsi="Arial" w:cs="B Nazanin"/>
      <w:bCs/>
      <w:color w:val="1B1C1D"/>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Heading3"/>
    <w:next w:val="Normal"/>
    <w:uiPriority w:val="10"/>
    <w:qFormat/>
    <w:rsid w:val="00A067CE"/>
    <w:pPr>
      <w:keepNext w:val="0"/>
      <w:keepLines w:val="0"/>
      <w:bidi/>
      <w:spacing w:before="0" w:after="120"/>
      <w:jc w:val="center"/>
    </w:pPr>
    <w:rPr>
      <w:rFonts w:ascii="Arial" w:eastAsia="Arial" w:hAnsi="Arial" w:cs="B Titr"/>
      <w:b/>
      <w:color w:val="1B1C1D"/>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EndnoteText">
    <w:name w:val="endnote text"/>
    <w:basedOn w:val="Normal"/>
    <w:link w:val="EndnoteTextChar"/>
    <w:uiPriority w:val="99"/>
    <w:semiHidden/>
    <w:unhideWhenUsed/>
    <w:rsid w:val="00412B48"/>
    <w:pPr>
      <w:spacing w:line="240" w:lineRule="auto"/>
    </w:pPr>
    <w:rPr>
      <w:sz w:val="20"/>
      <w:szCs w:val="20"/>
    </w:rPr>
  </w:style>
  <w:style w:type="character" w:customStyle="1" w:styleId="EndnoteTextChar">
    <w:name w:val="Endnote Text Char"/>
    <w:basedOn w:val="DefaultParagraphFont"/>
    <w:link w:val="EndnoteText"/>
    <w:uiPriority w:val="99"/>
    <w:semiHidden/>
    <w:rsid w:val="00412B48"/>
    <w:rPr>
      <w:sz w:val="20"/>
      <w:szCs w:val="20"/>
    </w:rPr>
  </w:style>
  <w:style w:type="character" w:styleId="EndnoteReference">
    <w:name w:val="endnote reference"/>
    <w:basedOn w:val="DefaultParagraphFont"/>
    <w:uiPriority w:val="99"/>
    <w:semiHidden/>
    <w:unhideWhenUsed/>
    <w:rsid w:val="00412B48"/>
    <w:rPr>
      <w:vertAlign w:val="superscript"/>
    </w:rPr>
  </w:style>
  <w:style w:type="paragraph" w:styleId="FootnoteText">
    <w:name w:val="footnote text"/>
    <w:basedOn w:val="Normal"/>
    <w:link w:val="FootnoteTextChar"/>
    <w:uiPriority w:val="99"/>
    <w:semiHidden/>
    <w:unhideWhenUsed/>
    <w:rsid w:val="00412B48"/>
    <w:pPr>
      <w:spacing w:line="240" w:lineRule="auto"/>
    </w:pPr>
    <w:rPr>
      <w:sz w:val="20"/>
      <w:szCs w:val="20"/>
    </w:rPr>
  </w:style>
  <w:style w:type="character" w:customStyle="1" w:styleId="FootnoteTextChar">
    <w:name w:val="Footnote Text Char"/>
    <w:basedOn w:val="DefaultParagraphFont"/>
    <w:link w:val="FootnoteText"/>
    <w:uiPriority w:val="99"/>
    <w:semiHidden/>
    <w:rsid w:val="00412B48"/>
    <w:rPr>
      <w:sz w:val="20"/>
      <w:szCs w:val="20"/>
    </w:rPr>
  </w:style>
  <w:style w:type="character" w:styleId="FootnoteReference">
    <w:name w:val="footnote reference"/>
    <w:basedOn w:val="DefaultParagraphFont"/>
    <w:uiPriority w:val="99"/>
    <w:semiHidden/>
    <w:unhideWhenUsed/>
    <w:rsid w:val="00412B4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16/0377-0427(87)90125-7" TargetMode="External"/><Relationship Id="rId13" Type="http://schemas.openxmlformats.org/officeDocument/2006/relationships/hyperlink" Target="https://www.google.com/search?q=https://www.wiley.com/en-us/Data%2BMining%2BTechniques%2Bin%2BCRM%253A%2BInside%2BCustomer%2BSegmentation-p-978111999932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search?q=https://www.wiley.com/en-us/Data%2BMining%2BTechniques%2Bin%2BCRM%253A%2BInside%2BCustomer%2BSegmentation-p-978111999932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search?q=https://doi.org/10.1108/IMDS-09-2015-0391"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google.com/search?q=https://doi.org/10.1108/IMDS-09-2015-0391" TargetMode="External"/><Relationship Id="rId4" Type="http://schemas.openxmlformats.org/officeDocument/2006/relationships/settings" Target="settings.xml"/><Relationship Id="rId9" Type="http://schemas.openxmlformats.org/officeDocument/2006/relationships/hyperlink" Target="https://doi.org/10.1016/0377-0427(87)90125-7"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100F19-E861-431D-9BC0-C60F0F2F18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4</Pages>
  <Words>941</Words>
  <Characters>5365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Payam Chiniforooshan</cp:lastModifiedBy>
  <cp:revision>2</cp:revision>
  <dcterms:created xsi:type="dcterms:W3CDTF">2025-09-09T08:41:00Z</dcterms:created>
  <dcterms:modified xsi:type="dcterms:W3CDTF">2025-09-09T10:43:00Z</dcterms:modified>
</cp:coreProperties>
</file>