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9" w:lineRule="auto"/>
        <w:jc w:val="center"/>
        <w:keepLines/>
        <w:widowControl/>
        <w:bidi w:val="1"/>
      </w:pPr>
      <w:r>
        <w:rPr>
          <w:rFonts w:ascii="Noto Sans Arabic" w:hAnsi="Noto Sans Arabic" w:eastAsia="Noto Sans Arabic" w:cs="Noto Sans Arabic"/>
          <w:b/>
          <w:color w:val="17324D"/>
          <w:sz w:val="46"/>
        </w:rPr>
        <w:t>گزارش بررسی و نظارت</w:t>
      </w:r>
    </w:p>
    <w:p>
      <w:pPr>
        <w:spacing w:before="0" w:after="160" w:line="269" w:lineRule="auto"/>
        <w:jc w:val="center"/>
        <w:keepLines/>
        <w:widowControl/>
        <w:bidi w:val="1"/>
      </w:pPr>
      <w:r>
        <w:rPr>
          <w:rFonts w:ascii="Noto Sans Arabic" w:hAnsi="Noto Sans Arabic" w:eastAsia="Noto Sans Arabic" w:cs="Noto Sans Arabic"/>
          <w:b/>
          <w:color w:val="2E6E73"/>
          <w:sz w:val="34"/>
        </w:rPr>
        <w:t>نسخه‌ی اصلاحی v5</w:t>
      </w:r>
    </w:p>
    <w:p>
      <w:pPr>
        <w:spacing w:before="0" w:after="320" w:line="269" w:lineRule="auto"/>
        <w:jc w:val="center"/>
        <w:keepLines/>
        <w:widowControl/>
        <w:bidi w:val="1"/>
      </w:pPr>
      <w:r>
        <w:rPr>
          <w:rFonts w:ascii="Noto Sans Arabic" w:hAnsi="Noto Sans Arabic" w:eastAsia="Noto Sans Arabic" w:cs="Noto Sans Arabic"/>
          <w:b/>
          <w:color w:val="17324D"/>
          <w:sz w:val="26"/>
        </w:rPr>
        <w:t>گزارش فاز ۱ پروژه‌ی تحلیل رفتار مشتریان بانک توسعه تعاون</w:t>
      </w:r>
    </w:p>
    <w:tbl>
      <w:tblPr>
        <w:tblW w:type="auto" w:w="0"/>
        <w:tblLook w:firstColumn="1" w:firstRow="1" w:lastColumn="0" w:lastRow="0" w:noHBand="0" w:noVBand="1" w:val="04A0"/>
        <w:bidiVisual w:val="1"/>
        <w:jc w:val="center"/>
        <w:tblBorders>
          <w:top w:val="single" w:sz="4" w:color="D4DEE3"/>
          <w:left w:val="single" w:sz="4" w:color="D4DEE3"/>
          <w:bottom w:val="single" w:sz="4" w:color="D4DEE3"/>
          <w:right w:val="single" w:sz="4" w:color="D4DEE3"/>
          <w:insideH w:val="single" w:sz="4" w:color="D4DEE3"/>
          <w:insideV w:val="single" w:sz="4" w:color="D4DEE3"/>
        </w:tblBorders>
        <w:bidiVisual w:val="1"/>
        <w:tblBorders>
          <w:top w:val="single" w:sz="4" w:color="D4DEE3"/>
          <w:left w:val="single" w:sz="4" w:color="D4DEE3"/>
          <w:bottom w:val="single" w:sz="4" w:color="D4DEE3"/>
          <w:right w:val="single" w:sz="4" w:color="D4DEE3"/>
          <w:insideH w:val="single" w:sz="4" w:color="D4DEE3"/>
          <w:insideV w:val="single" w:sz="4" w:color="D4DEE3"/>
        </w:tblBorders>
      </w:tblPr>
      <w:tblGrid>
        <w:gridCol w:w="5018"/>
        <w:gridCol w:w="5018"/>
      </w:tblGrid>
      <w:tr>
        <w:trPr>
          <w:tblHeader w:val="true"/>
        </w:trPr>
        <w:tc>
          <w:tcPr>
            <w:tcW w:type="dxa" w:w="2232"/>
            <w:vAlign w:val="center"/>
            <w:tcMar>
              <w:top w:w="70" w:type="dxa"/>
              <w:start w:w="90" w:type="dxa"/>
              <w:bottom w:w="70" w:type="dxa"/>
              <w:end w:w="90" w:type="dxa"/>
            </w:tcMar>
            <w:shd w:fill="17324D"/>
          </w:tcPr>
          <w:p>
            <w:pPr>
              <w:spacing w:before="0" w:after="0" w:line="240" w:lineRule="auto"/>
              <w:jc w:val="right"/>
              <w:keepLines/>
              <w:widowControl/>
              <w:bidi w:val="1"/>
            </w:pPr>
            <w:r>
              <w:rPr>
                <w:rFonts w:ascii="Noto Sans Arabic" w:hAnsi="Noto Sans Arabic" w:eastAsia="Noto Sans Arabic" w:cs="Noto Sans Arabic"/>
                <w:b/>
                <w:color w:val="FFFFFF"/>
                <w:sz w:val="18"/>
              </w:rPr>
              <w:t>مشخصه</w:t>
            </w:r>
          </w:p>
        </w:tc>
        <w:tc>
          <w:tcPr>
            <w:tcW w:type="dxa" w:w="8136"/>
            <w:vAlign w:val="center"/>
            <w:tcMar>
              <w:top w:w="70" w:type="dxa"/>
              <w:start w:w="90" w:type="dxa"/>
              <w:bottom w:w="70" w:type="dxa"/>
              <w:end w:w="90" w:type="dxa"/>
            </w:tcMar>
            <w:shd w:fill="17324D"/>
          </w:tcPr>
          <w:p>
            <w:pPr>
              <w:spacing w:before="0" w:after="0" w:line="240" w:lineRule="auto"/>
              <w:jc w:val="right"/>
              <w:keepLines/>
              <w:widowControl/>
              <w:bidi w:val="1"/>
            </w:pPr>
            <w:r>
              <w:rPr>
                <w:rFonts w:ascii="Noto Sans Arabic" w:hAnsi="Noto Sans Arabic" w:eastAsia="Noto Sans Arabic" w:cs="Noto Sans Arabic"/>
                <w:b/>
                <w:color w:val="FFFFFF"/>
                <w:sz w:val="18"/>
              </w:rPr>
              <w:t>شرح</w:t>
            </w:r>
          </w:p>
        </w:tc>
      </w:tr>
      <w:tr>
        <w:tc>
          <w:tcPr>
            <w:tcW w:type="dxa" w:w="2232"/>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8"/>
              </w:rPr>
              <w:t>مبنای بررسی</w:t>
            </w:r>
          </w:p>
        </w:tc>
        <w:tc>
          <w:tcPr>
            <w:tcW w:type="dxa" w:w="8136"/>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8"/>
              </w:rPr>
              <w:t>فایل گزارش phase1_final_report_v5.docx و فایل پیوست جدول‌ها phase1_final_report_tables_appendix_v5.xlsx</w:t>
            </w:r>
          </w:p>
        </w:tc>
      </w:tr>
      <w:tr>
        <w:tc>
          <w:tcPr>
            <w:tcW w:type="dxa" w:w="2232"/>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8"/>
              </w:rPr>
              <w:t>دامنه‌ی بررسی</w:t>
            </w:r>
          </w:p>
        </w:tc>
        <w:tc>
          <w:tcPr>
            <w:tcW w:type="dxa" w:w="8136"/>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8"/>
              </w:rPr>
              <w:t>سازگاری عددی و روش‌شناختی، تطبیق متن با جداول پیوست، وضوح برای مدیران بانک، و کنترل نسخه و ارائه</w:t>
            </w:r>
          </w:p>
        </w:tc>
      </w:tr>
      <w:tr>
        <w:tc>
          <w:tcPr>
            <w:tcW w:type="dxa" w:w="2232"/>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8"/>
              </w:rPr>
              <w:t>نتیجه‌ی نظارتی</w:t>
            </w:r>
          </w:p>
        </w:tc>
        <w:tc>
          <w:tcPr>
            <w:tcW w:type="dxa" w:w="8136"/>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8"/>
              </w:rPr>
              <w:t>بهبود محسوس نسبت به نسخه‌ی پیشین؛ بااین‌حال، چند مغایرت و فرض محاسباتی اثرگذار هنوز نیازمند رفع یا تعیین تکلیف است.</w:t>
            </w:r>
          </w:p>
        </w:tc>
      </w:tr>
      <w:tr>
        <w:tc>
          <w:tcPr>
            <w:tcW w:type="dxa" w:w="2232"/>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8"/>
              </w:rPr>
              <w:t>پیشنهاد درباره‌ی تصویب</w:t>
            </w:r>
          </w:p>
        </w:tc>
        <w:tc>
          <w:tcPr>
            <w:tcW w:type="dxa" w:w="8136"/>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8"/>
              </w:rPr>
              <w:t>تأیید نهایی بدون قید توصیه نمی‌شود. پذیرش فاز ۱ می‌تواند مشروط به رفع موارد اولویت‌دار این گزارش و ثبت پاسخ‌های بانک درباره‌ی موارد وابسته به داده باشد.</w:t>
            </w:r>
          </w:p>
        </w:tc>
      </w:tr>
    </w:tbl>
    <w:p>
      <w:pPr>
        <w:spacing w:after="20"/>
      </w:pPr>
    </w:p>
    <w:p>
      <w:r>
        <w:br w:type="page"/>
      </w:r>
    </w:p>
    <w:p>
      <w:pPr>
        <w:spacing w:before="160" w:after="80" w:line="240" w:lineRule="auto"/>
        <w:jc w:val="right"/>
        <w:keepLines/>
        <w:widowControl/>
        <w:bidi w:val="1"/>
        <w:keepNext/>
      </w:pPr>
      <w:r>
        <w:rPr>
          <w:rFonts w:ascii="Noto Sans Arabic" w:hAnsi="Noto Sans Arabic" w:eastAsia="Noto Sans Arabic" w:cs="Noto Sans Arabic"/>
          <w:b/>
          <w:color w:val="17324D"/>
          <w:sz w:val="30"/>
        </w:rPr>
        <w:t>خلاصه‌ی اجرایی نظارت</w:t>
      </w:r>
    </w:p>
    <w:p>
      <w:pPr>
        <w:spacing w:before="0" w:after="80" w:line="269" w:lineRule="auto"/>
        <w:jc w:val="right"/>
        <w:keepLines/>
        <w:widowControl/>
        <w:bidi w:val="1"/>
      </w:pPr>
      <w:r>
        <w:rPr>
          <w:rFonts w:ascii="Noto Sans Arabic" w:hAnsi="Noto Sans Arabic" w:eastAsia="Noto Sans Arabic" w:cs="Noto Sans Arabic"/>
          <w:b w:val="0"/>
          <w:sz w:val="20"/>
        </w:rPr>
        <w:t>نسخه‌ی v5 نسبت به دور قبل از نظر تعریف دامنه‌ی تعمیم، تفکیک جمعیت‌های طراحی و تحلیل، اصلاح وزن‌دهی نرخ قراردادی، توضیح پوشش ۵۸ماهه‌ی مقایسه‌ی مطالبات غیرجاری و تعدیل ادعای رابطه‌ی تعداد ضامن با ریسک پیشرفت کرده است. این اصلاحات باید حفظ شوند.</w:t>
      </w:r>
    </w:p>
    <w:p>
      <w:pPr>
        <w:spacing w:before="0" w:after="80" w:line="269" w:lineRule="auto"/>
        <w:jc w:val="right"/>
        <w:keepLines/>
        <w:widowControl/>
        <w:bidi w:val="1"/>
      </w:pPr>
      <w:r>
        <w:rPr>
          <w:rFonts w:ascii="Noto Sans Arabic" w:hAnsi="Noto Sans Arabic" w:eastAsia="Noto Sans Arabic" w:cs="Noto Sans Arabic"/>
          <w:b w:val="0"/>
          <w:sz w:val="20"/>
        </w:rPr>
        <w:t>با این حال، مسئله‌ی اصلی هنوز کاملاً حل نشده است: در چند فصل، اصطلاح «نمونه‌ی تحلیلی» به جمعیت گسترش‌یافته‌ای اطلاق می‌شود که علاوه بر نمونه‌ی مستقیم سپرده، طرف‌های قراردادهای تسهیلات را نیز در بر می‌گیرد. این تفاوت بر درصد پوشش، فعال‌بودن، ماندگاری و نرخ ریزش اثر تفسیری دارد. همچنین، شمار حساب‌ها و طبقات با مانده‌ی بالای تسهیلات نیازمند تطبیق مستقل است.</w:t>
      </w:r>
    </w:p>
    <w:p>
      <w:pPr>
        <w:spacing w:before="0" w:after="80" w:line="269" w:lineRule="auto"/>
        <w:jc w:val="right"/>
        <w:keepLines/>
        <w:widowControl/>
        <w:bidi w:val="1"/>
      </w:pPr>
      <w:r>
        <w:rPr>
          <w:rFonts w:ascii="Noto Sans Arabic" w:hAnsi="Noto Sans Arabic" w:eastAsia="Noto Sans Arabic" w:cs="Noto Sans Arabic"/>
          <w:b/>
          <w:color w:val="17324D"/>
          <w:sz w:val="20"/>
        </w:rPr>
        <w:t>پیشنهاد کلیدی: پیش از تأیید نهایی، ابتدا یک جدول واحد برای تطبیق جمعیت‌ها و فهرست‌های مشتری، سپس تطبیق حساب‌ها و طبقات تسهیلات و در پایان بازتعریف دامنه‌ی برآورد حاشیه‌ی مالی تکمیل شود. مواردی که پاسخ آن‌ها در اختیار بانک است باید به‌صراحت «معلق به تأیید داده‌مالک» بمانند و تا آن زمان به‌صورت یافته‌ی قطعی کل بانک ارائه نشوند.</w:t>
      </w:r>
    </w:p>
    <w:p>
      <w:pPr>
        <w:spacing w:before="100" w:after="80" w:line="240" w:lineRule="auto"/>
        <w:jc w:val="right"/>
        <w:keepLines/>
        <w:widowControl/>
        <w:bidi w:val="1"/>
        <w:keepNext/>
      </w:pPr>
      <w:r>
        <w:rPr>
          <w:rFonts w:ascii="Noto Sans Arabic" w:hAnsi="Noto Sans Arabic" w:eastAsia="Noto Sans Arabic" w:cs="Noto Sans Arabic"/>
          <w:b/>
          <w:color w:val="2E6E73"/>
          <w:sz w:val="24"/>
        </w:rPr>
        <w:t>اولویت رسیدگی</w:t>
      </w:r>
    </w:p>
    <w:tbl>
      <w:tblPr>
        <w:tblW w:type="auto" w:w="0"/>
        <w:tblLook w:firstColumn="1" w:firstRow="1" w:lastColumn="0" w:lastRow="0" w:noHBand="0" w:noVBand="1" w:val="04A0"/>
        <w:bidiVisual w:val="1"/>
        <w:jc w:val="center"/>
        <w:tblBorders>
          <w:top w:val="single" w:sz="4" w:color="D4DEE3"/>
          <w:left w:val="single" w:sz="4" w:color="D4DEE3"/>
          <w:bottom w:val="single" w:sz="4" w:color="D4DEE3"/>
          <w:right w:val="single" w:sz="4" w:color="D4DEE3"/>
          <w:insideH w:val="single" w:sz="4" w:color="D4DEE3"/>
          <w:insideV w:val="single" w:sz="4" w:color="D4DEE3"/>
        </w:tblBorders>
        <w:bidiVisual w:val="1"/>
        <w:tblBorders>
          <w:top w:val="single" w:sz="4" w:color="D4DEE3"/>
          <w:left w:val="single" w:sz="4" w:color="D4DEE3"/>
          <w:bottom w:val="single" w:sz="4" w:color="D4DEE3"/>
          <w:right w:val="single" w:sz="4" w:color="D4DEE3"/>
          <w:insideH w:val="single" w:sz="4" w:color="D4DEE3"/>
          <w:insideV w:val="single" w:sz="4" w:color="D4DEE3"/>
        </w:tblBorders>
      </w:tblPr>
      <w:tblGrid>
        <w:gridCol w:w="3346"/>
        <w:gridCol w:w="3346"/>
        <w:gridCol w:w="3346"/>
      </w:tblGrid>
      <w:tr>
        <w:trPr>
          <w:tblHeader w:val="true"/>
        </w:trPr>
        <w:tc>
          <w:tcPr>
            <w:tcW w:type="dxa" w:w="1152"/>
            <w:vAlign w:val="center"/>
            <w:tcMar>
              <w:top w:w="70" w:type="dxa"/>
              <w:start w:w="90" w:type="dxa"/>
              <w:bottom w:w="70" w:type="dxa"/>
              <w:end w:w="90" w:type="dxa"/>
            </w:tcMar>
            <w:shd w:fill="17324D"/>
          </w:tcPr>
          <w:p>
            <w:pPr>
              <w:spacing w:before="0" w:after="0" w:line="240" w:lineRule="auto"/>
              <w:jc w:val="right"/>
              <w:keepLines/>
              <w:widowControl/>
              <w:bidi w:val="1"/>
            </w:pPr>
            <w:r>
              <w:rPr>
                <w:rFonts w:ascii="Noto Sans Arabic" w:hAnsi="Noto Sans Arabic" w:eastAsia="Noto Sans Arabic" w:cs="Noto Sans Arabic"/>
                <w:b/>
                <w:color w:val="FFFFFF"/>
                <w:sz w:val="16"/>
              </w:rPr>
              <w:t>اولویت</w:t>
            </w:r>
          </w:p>
        </w:tc>
        <w:tc>
          <w:tcPr>
            <w:tcW w:type="dxa" w:w="4752"/>
            <w:vAlign w:val="center"/>
            <w:tcMar>
              <w:top w:w="70" w:type="dxa"/>
              <w:start w:w="90" w:type="dxa"/>
              <w:bottom w:w="70" w:type="dxa"/>
              <w:end w:w="90" w:type="dxa"/>
            </w:tcMar>
            <w:shd w:fill="17324D"/>
          </w:tcPr>
          <w:p>
            <w:pPr>
              <w:spacing w:before="0" w:after="0" w:line="240" w:lineRule="auto"/>
              <w:jc w:val="right"/>
              <w:keepLines/>
              <w:widowControl/>
              <w:bidi w:val="1"/>
            </w:pPr>
            <w:r>
              <w:rPr>
                <w:rFonts w:ascii="Noto Sans Arabic" w:hAnsi="Noto Sans Arabic" w:eastAsia="Noto Sans Arabic" w:cs="Noto Sans Arabic"/>
                <w:b/>
                <w:color w:val="FFFFFF"/>
                <w:sz w:val="16"/>
              </w:rPr>
              <w:t>موارد اصلی</w:t>
            </w:r>
          </w:p>
        </w:tc>
        <w:tc>
          <w:tcPr>
            <w:tcW w:type="dxa" w:w="4464"/>
            <w:vAlign w:val="center"/>
            <w:tcMar>
              <w:top w:w="70" w:type="dxa"/>
              <w:start w:w="90" w:type="dxa"/>
              <w:bottom w:w="70" w:type="dxa"/>
              <w:end w:w="90" w:type="dxa"/>
            </w:tcMar>
            <w:shd w:fill="17324D"/>
          </w:tcPr>
          <w:p>
            <w:pPr>
              <w:spacing w:before="0" w:after="0" w:line="240" w:lineRule="auto"/>
              <w:jc w:val="right"/>
              <w:keepLines/>
              <w:widowControl/>
              <w:bidi w:val="1"/>
            </w:pPr>
            <w:r>
              <w:rPr>
                <w:rFonts w:ascii="Noto Sans Arabic" w:hAnsi="Noto Sans Arabic" w:eastAsia="Noto Sans Arabic" w:cs="Noto Sans Arabic"/>
                <w:b/>
                <w:color w:val="FFFFFF"/>
                <w:sz w:val="16"/>
              </w:rPr>
              <w:t>معیار خاتمه</w:t>
            </w:r>
          </w:p>
        </w:tc>
      </w:tr>
      <w:tr>
        <w:tc>
          <w:tcPr>
            <w:tcW w:type="dxa" w:w="1152"/>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بحرانی</w:t>
            </w:r>
          </w:p>
        </w:tc>
        <w:tc>
          <w:tcPr>
            <w:tcW w:type="dxa" w:w="4752"/>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تفکیک نمونه‌ی مستقیم از جمعیت تحلیلی گسترش‌یافته؛ تطبیق فهرست گیرندگان تسهیلات و طبقات مانده؛ ناسازگاری شمار حساب‌ها</w:t>
            </w:r>
          </w:p>
        </w:tc>
        <w:tc>
          <w:tcPr>
            <w:tcW w:type="dxa" w:w="4464"/>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ارائه‌ی جدول تطبیق با مخرج، تاریخ و شناسه‌ی یکتا؛ بازتولید درصدها</w:t>
            </w:r>
          </w:p>
        </w:tc>
      </w:tr>
      <w:tr>
        <w:tc>
          <w:tcPr>
            <w:tcW w:type="dxa" w:w="1152"/>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بالا</w:t>
            </w:r>
          </w:p>
        </w:tc>
        <w:tc>
          <w:tcPr>
            <w:tcW w:type="dxa" w:w="4752"/>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دامنه‌ی تعمیم نرخ قراردادی و حاشیه‌ی مالی؛ ادعای توضیح ۰.۹ واحد درصدی شکاف؛ اختلاف مبانی همبستگی</w:t>
            </w:r>
          </w:p>
        </w:tc>
        <w:tc>
          <w:tcPr>
            <w:tcW w:type="dxa" w:w="4464"/>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بازنویسی/محاسبه‌ی مجدد با مبانی همسان و تصریح فرض‌ها</w:t>
            </w:r>
          </w:p>
        </w:tc>
      </w:tr>
      <w:tr>
        <w:tc>
          <w:tcPr>
            <w:tcW w:type="dxa" w:w="1152"/>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مهم</w:t>
            </w:r>
          </w:p>
        </w:tc>
        <w:tc>
          <w:tcPr>
            <w:tcW w:type="dxa" w:w="4752"/>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تطبیق شناسه‌های شعب؛ تکرار و ناسازگاری برخی عبارت‌های خلاصه؛ اطلاعات نسخه</w:t>
            </w:r>
          </w:p>
        </w:tc>
        <w:tc>
          <w:tcPr>
            <w:tcW w:type="dxa" w:w="4464"/>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پاسخ مستند بانک و کنترل نهایی گزارش و اکسل</w:t>
            </w:r>
          </w:p>
        </w:tc>
      </w:tr>
    </w:tbl>
    <w:p>
      <w:pPr>
        <w:spacing w:after="20"/>
      </w:pPr>
    </w:p>
    <w:p>
      <w:r>
        <w:br w:type="page"/>
      </w:r>
    </w:p>
    <w:p>
      <w:pPr>
        <w:spacing w:before="160" w:after="80" w:line="240" w:lineRule="auto"/>
        <w:jc w:val="right"/>
        <w:keepLines/>
        <w:widowControl/>
        <w:bidi w:val="1"/>
        <w:keepNext/>
      </w:pPr>
      <w:r>
        <w:rPr>
          <w:rFonts w:ascii="Noto Sans Arabic" w:hAnsi="Noto Sans Arabic" w:eastAsia="Noto Sans Arabic" w:cs="Noto Sans Arabic"/>
          <w:b/>
          <w:color w:val="17324D"/>
          <w:sz w:val="30"/>
        </w:rPr>
        <w:t>۱. اصلاحات انجام‌شده در نسخه‌ی v5</w:t>
      </w:r>
    </w:p>
    <w:p>
      <w:pPr>
        <w:spacing w:before="0" w:after="80" w:line="269" w:lineRule="auto"/>
        <w:jc w:val="right"/>
        <w:keepLines/>
        <w:widowControl/>
        <w:bidi w:val="1"/>
      </w:pPr>
      <w:r>
        <w:rPr>
          <w:rFonts w:ascii="Noto Sans Arabic" w:hAnsi="Noto Sans Arabic" w:eastAsia="Noto Sans Arabic" w:cs="Noto Sans Arabic"/>
          <w:b w:val="0"/>
          <w:sz w:val="19"/>
        </w:rPr>
        <w:t>موارد زیر نسبت به نسخه‌ی قبلی اصلاح یا شفاف‌تر شده‌اند. لازم است در نسخه‌ی نهایی حفظ شوند و در بازبینی‌های بعدی دوباره مبهم نشوند:</w:t>
      </w:r>
    </w:p>
    <w:p>
      <w:pPr>
        <w:pStyle w:val="ListBullet"/>
        <w:spacing w:before="0" w:after="60" w:line="264" w:lineRule="auto"/>
        <w:ind w:right="259" w:left="72"/>
        <w:jc w:val="right"/>
        <w:keepLines/>
        <w:widowControl/>
        <w:bidi w:val="1"/>
      </w:pPr>
      <w:r>
        <w:rPr>
          <w:rFonts w:ascii="Noto Sans Arabic" w:hAnsi="Noto Sans Arabic" w:eastAsia="Noto Sans Arabic" w:cs="Noto Sans Arabic"/>
          <w:b w:val="0"/>
          <w:sz w:val="19"/>
        </w:rPr>
        <w:t>در روش‌شناسی، RFM به‌درستی سه معیار تازگی، تکرار و ارزش پولی تعریف شده و قدمت به‌عنوان معیار جداگانه به آن افزوده شده است.</w:t>
      </w:r>
    </w:p>
    <w:p>
      <w:pPr>
        <w:pStyle w:val="ListBullet"/>
        <w:spacing w:before="0" w:after="60" w:line="264" w:lineRule="auto"/>
        <w:ind w:right="259" w:left="72"/>
        <w:jc w:val="right"/>
        <w:keepLines/>
        <w:widowControl/>
        <w:bidi w:val="1"/>
      </w:pPr>
      <w:r>
        <w:rPr>
          <w:rFonts w:ascii="Noto Sans Arabic" w:hAnsi="Noto Sans Arabic" w:eastAsia="Noto Sans Arabic" w:cs="Noto Sans Arabic"/>
          <w:b w:val="0"/>
          <w:sz w:val="19"/>
        </w:rPr>
        <w:t>جدول تطبیق جمعیت‌های طراحی و تحلیل در فصل ۱ اضافه شده و روشن می‌کند که جمعیت تحلیلی سپرده‌گذاران، از اجتماع نمونه‌ی سپرده و بخشی از طرف‌های قراردادهای تسهیلات ساخته شده است.</w:t>
      </w:r>
    </w:p>
    <w:p>
      <w:pPr>
        <w:pStyle w:val="ListBullet"/>
        <w:spacing w:before="0" w:after="60" w:line="264" w:lineRule="auto"/>
        <w:ind w:right="259" w:left="72"/>
        <w:jc w:val="right"/>
        <w:keepLines/>
        <w:widowControl/>
        <w:bidi w:val="1"/>
      </w:pPr>
      <w:r>
        <w:rPr>
          <w:rFonts w:ascii="Noto Sans Arabic" w:hAnsi="Noto Sans Arabic" w:eastAsia="Noto Sans Arabic" w:cs="Noto Sans Arabic"/>
          <w:b w:val="0"/>
          <w:sz w:val="19"/>
        </w:rPr>
        <w:t>فصل ۲ اکنون حدود تعمیم را به تفکیک شاخص‌ها توضیح می‌دهد و شباهت روند یا سهم استانی را به‌عنوان اثبات نمایندگی همه‌ی متغیرها معرفی نمی‌کند.</w:t>
      </w:r>
    </w:p>
    <w:p>
      <w:pPr>
        <w:pStyle w:val="ListBullet"/>
        <w:spacing w:before="0" w:after="60" w:line="264" w:lineRule="auto"/>
        <w:ind w:right="259" w:left="72"/>
        <w:jc w:val="right"/>
        <w:keepLines/>
        <w:widowControl/>
        <w:bidi w:val="1"/>
      </w:pPr>
      <w:r>
        <w:rPr>
          <w:rFonts w:ascii="Noto Sans Arabic" w:hAnsi="Noto Sans Arabic" w:eastAsia="Noto Sans Arabic" w:cs="Noto Sans Arabic"/>
          <w:b w:val="0"/>
          <w:sz w:val="19"/>
        </w:rPr>
        <w:t>مقایسه‌ی سری مطالبات غیرجاری به ۵۸ ماه قابل مقایسه محدود شده و نقش پوشش بالای مطالبات نمونه در هم‌خوانی گزارش شده است.</w:t>
      </w:r>
    </w:p>
    <w:p>
      <w:pPr>
        <w:pStyle w:val="ListBullet"/>
        <w:spacing w:before="0" w:after="60" w:line="264" w:lineRule="auto"/>
        <w:ind w:right="259" w:left="72"/>
        <w:jc w:val="right"/>
        <w:keepLines/>
        <w:widowControl/>
        <w:bidi w:val="1"/>
      </w:pPr>
      <w:r>
        <w:rPr>
          <w:rFonts w:ascii="Noto Sans Arabic" w:hAnsi="Noto Sans Arabic" w:eastAsia="Noto Sans Arabic" w:cs="Noto Sans Arabic"/>
          <w:b w:val="0"/>
          <w:sz w:val="19"/>
        </w:rPr>
        <w:t>در بخش جغرافیا، نسبت ۸۴.۴ درصد به ۶۰۲٬۳۳۶ نفر از جمعیت مبنای نگاشت ۷۱۳٬۹۶۶ نفری اصلاح شده است؛ تعداد فاقد نگاشت نیز جداگانه آمده است.</w:t>
      </w:r>
    </w:p>
    <w:p>
      <w:pPr>
        <w:pStyle w:val="ListBullet"/>
        <w:spacing w:before="0" w:after="60" w:line="264" w:lineRule="auto"/>
        <w:ind w:right="259" w:left="72"/>
        <w:jc w:val="right"/>
        <w:keepLines/>
        <w:widowControl/>
        <w:bidi w:val="1"/>
      </w:pPr>
      <w:r>
        <w:rPr>
          <w:rFonts w:ascii="Noto Sans Arabic" w:hAnsi="Noto Sans Arabic" w:eastAsia="Noto Sans Arabic" w:cs="Noto Sans Arabic"/>
          <w:b w:val="0"/>
          <w:sz w:val="19"/>
        </w:rPr>
        <w:t>نرخ قراردادی تسهیلات در فصل ۸ با وزن مانده‌ی ۱۲/۱۴۰۴ برابر ۱۷.۰۸ درصد گزارش شده و نرخ ۱۸.۰۸ درصدِ مبتنی بر مبلغ اعطای تجمعی دیگر مبنای اصلی حاشیه معرفی نمی‌شود.</w:t>
      </w:r>
    </w:p>
    <w:p>
      <w:pPr>
        <w:pStyle w:val="ListBullet"/>
        <w:spacing w:before="0" w:after="60" w:line="264" w:lineRule="auto"/>
        <w:ind w:right="259" w:left="72"/>
        <w:jc w:val="right"/>
        <w:keepLines/>
        <w:widowControl/>
        <w:bidi w:val="1"/>
      </w:pPr>
      <w:r>
        <w:rPr>
          <w:rFonts w:ascii="Noto Sans Arabic" w:hAnsi="Noto Sans Arabic" w:eastAsia="Noto Sans Arabic" w:cs="Noto Sans Arabic"/>
          <w:b w:val="0"/>
          <w:sz w:val="19"/>
        </w:rPr>
        <w:t>رابطه‌ی تعداد طرف‌های قرارداد/ضامن با ریسک در فصل ۶ محتاطانه‌تر شده و مقایسه‌ی گروه‌ها بدون ادعای رابطه‌ی یکنواخت گزارش می‌شود.</w:t>
      </w:r>
    </w:p>
    <w:p>
      <w:pPr>
        <w:pStyle w:val="ListBullet"/>
        <w:spacing w:before="0" w:after="60" w:line="264" w:lineRule="auto"/>
        <w:ind w:right="259" w:left="72"/>
        <w:jc w:val="right"/>
        <w:keepLines/>
        <w:widowControl/>
        <w:bidi w:val="1"/>
      </w:pPr>
      <w:r>
        <w:rPr>
          <w:rFonts w:ascii="Noto Sans Arabic" w:hAnsi="Noto Sans Arabic" w:eastAsia="Noto Sans Arabic" w:cs="Noto Sans Arabic"/>
          <w:b w:val="0"/>
          <w:sz w:val="19"/>
        </w:rPr>
        <w:t>در فصل ۹، محدودیت‌های اثرگذار بر تصمیم و شکاف ۲۲.۴ درصدی اطلاعات قرارداد برجسته‌تر شده‌اند؛ نرخ ریزش نیز با رقم دقیق ۰.۵۵ درصد بیان می‌شود.</w:t>
      </w:r>
    </w:p>
    <w:p>
      <w:pPr>
        <w:spacing w:before="60" w:after="80" w:line="269" w:lineRule="auto"/>
        <w:jc w:val="right"/>
        <w:keepLines/>
        <w:widowControl/>
        <w:bidi w:val="1"/>
      </w:pPr>
      <w:r>
        <w:rPr>
          <w:rFonts w:ascii="Noto Sans Arabic" w:hAnsi="Noto Sans Arabic" w:eastAsia="Noto Sans Arabic" w:cs="Noto Sans Arabic"/>
          <w:b/>
          <w:color w:val="17324D"/>
          <w:sz w:val="19"/>
        </w:rPr>
        <w:t>این اصلاحات کیفیت گزارش را بهتر کرده‌اند، اما به‌تنهایی مغایرت‌های داده‌ای و مبناییِ باقیمانده را رفع نمی‌کنند.</w:t>
      </w:r>
    </w:p>
    <w:p>
      <w:pPr>
        <w:spacing w:before="160" w:after="80" w:line="240" w:lineRule="auto"/>
        <w:jc w:val="right"/>
        <w:keepLines/>
        <w:widowControl/>
        <w:bidi w:val="1"/>
        <w:keepNext/>
      </w:pPr>
      <w:r>
        <w:rPr>
          <w:rFonts w:ascii="Noto Sans Arabic" w:hAnsi="Noto Sans Arabic" w:eastAsia="Noto Sans Arabic" w:cs="Noto Sans Arabic"/>
          <w:b/>
          <w:color w:val="17324D"/>
          <w:sz w:val="30"/>
        </w:rPr>
        <w:t>۲. موارد بحرانی و با اولویت بالا</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ن-۱. نمونه‌ی مستقیم و جمعیت تحلیلی هنوز در برخی شاخص‌ها از هم تفکیک نشده‌اند  </w:t>
      </w:r>
      <w:r>
        <w:rPr>
          <w:rFonts w:ascii="Noto Sans Arabic" w:hAnsi="Noto Sans Arabic" w:eastAsia="Noto Sans Arabic" w:cs="Noto Sans Arabic"/>
          <w:b/>
          <w:color w:val="A33B32"/>
          <w:sz w:val="22"/>
        </w:rPr>
        <w:t>[بحرانی]</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فصل ۱، جدول ۴-۱ و بخش‌های ۱.۲.۳–۱.۲.۴؛ فصل ۲، بخش ۲.۴.۱؛ فصل ۳، بخش‌های ۳.۲ تا ۳.۶؛ خلاصه‌ی مدیریتی</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جدول ۴-۱ از نمونه‌ی سپرده‌ی طراحی‌شده ۳۲۶٬۶۸۲ نفر، فهرست تحویل‌شده ۳۵۱٬۶۶۳ نفر و جمعیت تحلیلی سپرده‌گذاران ۷۰۶٬۵۰۹ نفر نام می‌برد. جمعیت تحلیلی ۷۰۶٬۵۰۹ نفری با اضافه‌شدن طرف‌های قراردادهای تسهیلات ساخته شده و حدود ۳۵۵ هزار نفر از مسیر ضمانت/شراکت وارد آن شده‌اند؛ معیارهای پالایش برای این گروه مبنای انتخاب نمونه نبوده‌اند. بااین‌حال، سهم تعدادی ۹.۵ درصد و برخی شاخص‌های فعال‌بودن/ماندگاری در متن با برچسب «نمونه‌ی سپرده» یا «نمونه‌ی تحلیلی» عرضه می‌شوند.</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مدیر ممکن است تصور کند ۷۰۶٬۵۰۹ نفر از فرایند نمونه‌گیری یکسان و پالایش RFM عبور کرده‌اند. در نتیجه، درصد پوشش تعدادی و نتایج فعالیت/ماندگاری با مخرجی ناهمگون تفسیر می‌شوند.</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در گزارش، سه برچسب پایدار تعریف شود: «نمونه‌ی مستقیم سپرده»، «جمعیت پیوندخورده از طرف‌های قرارداد» و «جمعیت تحلیلی گسترش‌یافته». درصد ۹.۵ فقط با توضیح اینکه مخرج/صورت به جمعیت گسترش‌یافته مربوط است ارائه شود. فعال‌بودن، کوهورت و ریزش برای نمونه‌ی مستقیم و گروه افزوده‌شده جدا گزارش شود یا دامنه‌ی نتیجه صریحاً محدود شود.</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ن-۲. فهرست گیرندگان تسهیلات، طراحی نمونه و پوشش طبقات مانده با یکدیگر تطبیق نشده‌اند  </w:t>
      </w:r>
      <w:r>
        <w:rPr>
          <w:rFonts w:ascii="Noto Sans Arabic" w:hAnsi="Noto Sans Arabic" w:eastAsia="Noto Sans Arabic" w:cs="Noto Sans Arabic"/>
          <w:b/>
          <w:color w:val="A33B32"/>
          <w:sz w:val="22"/>
        </w:rPr>
        <w:t>[بحرانی]</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فصل ۱، جداول ۲-۱ تا ۴-۱؛ فصل ۲، بخش ۲.۴.۲؛ فصل ۳، جدول ۱-۳؛ فصل ۹، پرسش‌های فنی ۱۶ و ۱۷</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طرح نمونه‌گیری برای حقیقی‌ها ۲۵۶٬۷۱۳ نفر و برای حقوقی‌ها ۲۷٬۳۳۵ نفر (جمع ۲۸۴٬۰۴۸) پیش‌بینی می‌کند، ولی فهرست گیرندگان اصلی ۲۴۹٬۷۰۸ شناسه دارد و فهرست دارندگان مانده‌ی تسهیلات ۲۷۳٬۱۴۸ نفر است. افزون بر این، جدول طراحی برای طبقات ۱ تا ۵ میلیارد، ۵ تا ۲۰ میلیارد و بیش از ۲۰ میلیارد تومان به‌ترتیب ۱٬۰۰۰ از ۶٬۰۶۰، ۴۰ از ۲۴۲ و ۴ از ۲۳ نفر برنامه‌ریزی کرده است؛ در حالی که متن روش‌شناسی این دو طبقه‌ی بالایی را تقریباً سرشماری معرفی می‌کند؛ اما فصل ۲ پوشش ۹۴ و ۹۹ درصدی دو طبقه‌ی نخست و ۴۰۱ مشتری نمونه در طبقه‌ی بیش از ۲۰ میلیارد تومان در برابر ۲۶۲ نفر فایل توزیع بانک گزارش می‌کند.</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این ارقام می‌توانند از تفاوت تعریف مشتری، تاریخ مبنا، طرف قرارداد در برابر گیرنده‌ی اصلی یا روش محاسبه‌ی مانده ناشی شوند؛ اما علت در متن یک‌جا به تفاوت تعریف مانده نسبت داده شده و در جای دیگر هنوز موضوع پرسش از بانک است. این دو سطح قطعیت با هم سازگار نیستند. تا زمان مستندسازی علت، عبارت «پوشش ۹۴ تا ۹۹ درصدی گیرندگان بالای یک میلیارد تومان» مبنای مطمئنی برای نتیجه‌گیری مدیریتی نیست.</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تطبیق شناسه‌به‌شناسه ارائه شود: جمعیت واجد شرایط، نمونه‌ی طراحی‌شده، فهرست تحویل‌شده، گیرنده‌ی اصلی دارای مانده، تعریف طبقه‌ی مانده و تاریخ مرجع. تا آن زمان، درصدهای پوشش طبقات بالا و ادعای پوشش تقریباً کامل در خلاصه‌ی مدیریتی تعدیل یا با برچسب «در انتظار تطبیق» نشان داده شود.</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ن-۳. شمار حساب‌های یکتای فعالیت ماهانه با شمار حساب‌های پایان دوره سازگار نیست  </w:t>
      </w:r>
      <w:r>
        <w:rPr>
          <w:rFonts w:ascii="Noto Sans Arabic" w:hAnsi="Noto Sans Arabic" w:eastAsia="Noto Sans Arabic" w:cs="Noto Sans Arabic"/>
          <w:b/>
          <w:color w:val="A33B32"/>
          <w:sz w:val="22"/>
        </w:rPr>
        <w:t>[بحرانی]</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فصل ۲، جدول ۱-۲؛ فصل ۴، جدول‌های ۱-۴ و ۳-۴؛ فایل اکسل پیوست، شیت‌های فصل ۲ و فصل ۴</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جدول ۱-۲ برای `Deposit_Monthly_Activity` تعداد ۲٬۰۹۰٬۲۶۱ حساب یکتا در کل جدول را ثبت می‌کند؛ اما فصل ۴ در ۱۲/۱۴۰۴ تعداد ۲٬۱۰۳٬۰۴۷ حساب را برای جدول روند و جدول ترکیب محصولی به کار می‌برد. شمار حساب‌های یک ماه ۱۲٬۷۸۶ مورد بیشتر از شمار حساب‌های یکتای کل جدول گزارش شده است. همچنین جدول مشخصات حساب‌ها (`Deposit_Accoutnt_Info`) فقط ۱٬۲۶۸٬۲۶۶ حساب یکتا دارد، درحالی‌که طبقه‌ی «نوع ثبت‌نشده» به‌تنهایی ۸۴۸٬۵۵۳ حساب را شامل می‌شود.</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اگر منبع، کلید حساب و دامنه‌ی استخراج یکسان باشد، شمار حساب‌های یکتای یک ماه نمی‌تواند از شمار کل حساب‌های یکتای همان جدول در همه‌ی ماه‌ها بیشتر باشد. اختلاف ممکن است خطای مخرج، تفاوت کلید، ادغام داده یا استفاده از منابع با دامنه‌ی متفاوت باشد؛ متن فعلی آن را روشن نمی‌کند.</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تعداد حساب‌های یکتا را با کلید طبیعی و فیلتر یکسان در سطح کل بازه و در ۱۲/۱۴۰۴ بازتولید کنید. سپس تعداد حساب‌های موجود در جدول فعالیت، حساب‌های دارای مشخصات حساب و حساب‌های فاقد نوع را در سه گروه مستقل گزارش کنید؛ عبارت «نوع ثبت‌نشده» نباید حساب فاقد رکورد مشخصات را بدون تفکیک با حساب دارای مشخصات ولی نوع خالی ترکیب کند.</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ن-۴. حاشیه‌ی قراردادی ۸.۱ همت به کل بانک تعمیم داده شده، درحالی‌که نرخ فقط برای بخش پوشش‌داده‌شده موجود است  </w:t>
      </w:r>
      <w:r>
        <w:rPr>
          <w:rFonts w:ascii="Noto Sans Arabic" w:hAnsi="Noto Sans Arabic" w:eastAsia="Noto Sans Arabic" w:cs="Noto Sans Arabic"/>
          <w:b/>
          <w:color w:val="A33B32"/>
          <w:sz w:val="22"/>
        </w:rPr>
        <w:t>[بالا]</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فصل ۸، بخش ۸.۴.۱ و ۸.۵؛ خلاصه‌ی مدیریتی؛ فصل ۹، بخش ۹.۱ و پیشنهاد ۳</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نرخ قراردادی ۱۷.۰۸ درصد با وزن مانده‌ی ۱۲/۱۴۰۴ از قراردادهای دارای اطلاعات قرارداد محاسبه شده که ۷۷.۶ درصد مانده‌ی پایان دوره را پوشش می‌دهند. سپس اختلاف ۶.۶ واحد درصدی آن با هزینه‌ی تأمین مالی رسمی ۱۰.۴۶ درصد، بر میانگین سالانه‌ی تسهیلات رسمی بانک ۱۲۲.۸ همت اعمال شده و حدود ۸.۱ همت سالانه برآورد شده است. خود گزارش تصریح می‌کند که برای ۲۲.۴ درصد پرتفوی نرخ قراردادی در دسترس نیست و نسبت مطالبات غیرجاری بخش فاقد اطلاعات قرارداد ۲۱.۰۴ درصد است.</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محاسبه‌ی ۶.۶ واحد درصد × ۱۲۲.۸ از نظر حسابی درست است، اما نرخ با وزن مانده‌ی پایان دوره به دست آمده و به میانگین سالانه اعمال شده؛ افزون بر آن، فرض می‌کند نرخ بخش پوشش‌داده‌شده نماینده‌ی کل پرتفوی است. این فرض با شکاف پوشش و تفاوت کیفیت دارایی اثبات نشده؛ بنابراین برچسب «سقف» و مبلغ ۸.۱ همت ممکن است به‌اشتباه برآورد کل بانک تلقی شود.</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یا حاشیه روی مانده‌ی متوسطِ همان بخش دارای نرخ قرارداد محاسبه شود، یا عدد ۸.۱ همت صریحاً به‌عنوان «سناریوی فرضی با تعمیم نرخ بخش مشاهده‌شده به کل پرتفوی» معرفی شود و نه برآورد کل بانک. نرخ نهاییِ قابل استناد کل بانک به تکمیل اطلاعات قرارداد یا تطبیق با درآمد تعهدی صورت‌های مالی موکول شود.</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ن-۵. توضیح ۰.۹ واحد درصدی شکاف بازده، فرضی را به‌صورت نتیجه‌ی علّی بیان می‌کند  </w:t>
      </w:r>
      <w:r>
        <w:rPr>
          <w:rFonts w:ascii="Noto Sans Arabic" w:hAnsi="Noto Sans Arabic" w:eastAsia="Noto Sans Arabic" w:cs="Noto Sans Arabic"/>
          <w:b/>
          <w:color w:val="A33B32"/>
          <w:sz w:val="22"/>
        </w:rPr>
        <w:t>[بالا]</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فصل ۸، بخش ۸.۴.۲</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متن می‌گوید نسبت مطالبات غیرجاری بخش دارای رکورد (۵.۲۱ درصد) به‌تنهایی حدود ۰.۹ واحد درصد از شکاف بین نرخ قراردادی ۱۷.۰۸ درصد و بازده نقدی را توضیح می‌دهد. این عدد تقریباً حاصل ضرب ۵.۲۱ درصد در ۱۷.۰۸ درصد است.</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این محاسبه فقط با فرضی مانند «درآمد نقدی از مانده‌ی غیرجاری صفر است» قابل تفسیر است؛ گزارش این فرض را به‌عنوان فرض محاسباتی تعریف نمی‌کند. مطالبات غیرجاری لزوماً فاقد هرگونه وصول نقدی نیستند و سود تعهدی/شناسایی‌شده نیز می‌تواند قواعد جداگانه داشته باشد.</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عبارت «توضیح می‌دهد» با «در یک سناریوی ساده که مانده‌ی غیرجاری هیچ درآمد نقدی ایجاد نکند، اثر بالقوه حدود ۰.۹ واحد درصد برآورد می‌شود» جایگزین شود؛ یا عدد حذف شود تا دریافت صورت سود و زیان رسمی و تحلیل جریان نقدی امکان تفکیک واقعی اثرها را فراهم کند.</w:t>
      </w:r>
    </w:p>
    <w:p>
      <w:pPr>
        <w:spacing w:before="160" w:after="80" w:line="240" w:lineRule="auto"/>
        <w:jc w:val="right"/>
        <w:keepLines/>
        <w:widowControl/>
        <w:bidi w:val="1"/>
        <w:keepNext/>
      </w:pPr>
      <w:r>
        <w:rPr>
          <w:rFonts w:ascii="Noto Sans Arabic" w:hAnsi="Noto Sans Arabic" w:eastAsia="Noto Sans Arabic" w:cs="Noto Sans Arabic"/>
          <w:b/>
          <w:color w:val="17324D"/>
          <w:sz w:val="30"/>
        </w:rPr>
        <w:t>۳. سایر موارد مهم باقیمانده</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ن-۶. در فصل‌های مختلف، مبنای ۵۸ ماه قابل مقایسه دوباره به ۶۰ ماه تبدیل شده است  </w:t>
      </w:r>
      <w:r>
        <w:rPr>
          <w:rFonts w:ascii="Noto Sans Arabic" w:hAnsi="Noto Sans Arabic" w:eastAsia="Noto Sans Arabic" w:cs="Noto Sans Arabic"/>
          <w:b/>
          <w:color w:val="9A6500"/>
          <w:sz w:val="22"/>
        </w:rPr>
        <w:t>[مهم]</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خلاصه‌ی مدیریتی، بند پوشش نمونه؛ فصل ۲، بخش ۲.۴.۵؛ فصل ۶، بند آغازین؛ فصل ۹، بخش ۹.۱</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خلاصه‌ی مدیریتی و بخش ۲.۴.۵ همبستگی مطالبات غیرجاری را بر ۵۸ ماه قابل مقایسه گزارش می‌کنند، اما آغاز فصل ۶ و خلاصه‌ی فصل ۹ همچنان از همبستگی ۰.۹۶ در «۶۰ ماه» سخن می‌گویند.</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این بازمانده‌ی متن قبلی تناقض درونی ایجاد می‌کند و ممکن است مدیر بپرسد آیا دو ماه حذف‌شده در محاسبه حضور داشته‌اند یا خیر.</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تمام موارد همبستگی و اختلاف مطلق به «۵۸ ماه قابل مقایسه» اصلاح شوند. عبارت «۶۰ ماه» فقط برای توصیف بازه‌ی زمانی سری‌ها به کار رود، نه تعداد زوج‌مشاهداتِ محاسبه‌ی همبستگی.</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ن-۷. درصد پوشش جغرافیایی اصلاح شده، اما رابطه‌ی جمعیت مبنای نگاشت با جمعیت تحلیلی باید توضیح داده شود  </w:t>
      </w:r>
      <w:r>
        <w:rPr>
          <w:rFonts w:ascii="Noto Sans Arabic" w:hAnsi="Noto Sans Arabic" w:eastAsia="Noto Sans Arabic" w:cs="Noto Sans Arabic"/>
          <w:b/>
          <w:color w:val="9A6500"/>
          <w:sz w:val="22"/>
        </w:rPr>
        <w:t>[مهم]</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فصل ۷، بخش ۷.۸؛ جدول ۴-۱ فصل ۱</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در فصل ۷، جمعیت مبنای نگاشت ۷۱۳٬۹۶۶ نفر تعریف شده و از آن ۶۰۲٬۳۳۶ مشتری دارای نگاشت و ۱۱۱٬۶۳۰ فاقد نگاشت‌اند. نسبت‌های ۸۴.۴ و ۱۵.۶ درصد از نظر حسابی درست‌اند؛ ولی جمعیت مبنا ۷٬۴۲۳ نفر بیشتر از جمعیت ۷۰۶٬۵۴۳ نفری «کل مشتریان نمونه» در فصل ۳ است.</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این اختلاف الزاماً خطا نیست؛ فصل ۷ می‌گوید مشتریان دارای گردش نیز به اجتماع افزوده شده‌اند. بااین‌حال، در نبود جدول ترکیب این اجتماع، امکان کنترل تعداد یکتا و همپوشانی سه زیرجمعیت وجود ندارد.</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یک جدول کوچک در پیوست اضافه شود که تعداد یکتای سپرده‌گذاران، طرف‌های قراردادهای تسهیلات، مشتریان دارای گردش، همپوشانی‌ها و اجتماع نهایی ۷۱۳٬۹۶۶ نفری را نشان دهد. تصریح شود که این مخرج فقط برای تحلیل نگاشت جغرافیایی است و با مخرج شاخص‌های فصل ۳ جایگزین نمی‌شود.</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ن-۸. مقایسه‌ی قدمت مشتریان همچنان بر فایلی با طبقات همپوشان تکیه دارد  </w:t>
      </w:r>
      <w:r>
        <w:rPr>
          <w:rFonts w:ascii="Noto Sans Arabic" w:hAnsi="Noto Sans Arabic" w:eastAsia="Noto Sans Arabic" w:cs="Noto Sans Arabic"/>
          <w:b/>
          <w:color w:val="9A6500"/>
          <w:sz w:val="22"/>
        </w:rPr>
        <w:t>[مهم]</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فصل ۲، بخش ۲.۴.۳</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گزارش تصریح می‌کند جمع طبقات قدمت در فایل توزیع بانک ۸٬۳۴۹٬۲۵۰ است، در برابر ۷٬۷۶۷٬۹۶۹ مشتری کل فایل، و دو سهم متفاوت ۶۶.۷ و ۶۲.۱ درصد برای مشتریان بیش از پنج سال را ارائه می‌دهد؛ سپس نتیجه می‌گیرد توزیع نمونه به بانک نزدیک است.</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تا وقتی طبقات متقابلاً مانعةالجمع یا مخرج درصدها قابل بازسازی نباشند، شباهت ساختار قدمت قابل راستی‌آزمایی نیست. جهت اختلاف به‌تنهایی جایگزین کنترل توزیع نمی‌شود.</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جدول توزیع قدمت از بانک با طبقات غیرهمپوشان و مخرج یکتا دریافت/بازسازی شود. اگر ممکن نیست، مقایسه به‌عنوان شاهد تقریبی حذف یا با قید «غیرقابل تأیید به علت همپوشانی طبقات» محدود شود.</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ن-۹. مبنای هزینه‌ی تأمین مالی به تطبیق کامل شبکه‌ی شعب وابسته است  </w:t>
      </w:r>
      <w:r>
        <w:rPr>
          <w:rFonts w:ascii="Noto Sans Arabic" w:hAnsi="Noto Sans Arabic" w:eastAsia="Noto Sans Arabic" w:cs="Noto Sans Arabic"/>
          <w:b/>
          <w:color w:val="9A6500"/>
          <w:sz w:val="22"/>
        </w:rPr>
        <w:t>[مهم]</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فصل ۲، جدول ۱-۲؛ فصل ۷، بخش ۷.۶؛ فصل ۸، بخش ۸.۲؛ پرسش‌های فنی فصل ۹</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در منابع داده، ۵۰۶ کد شعبه در جدول مبنای شعب دیده می‌شود؛ فصل ۷ شبکه‌ی گزارش‌دهنده را ۵۰۳ واحد (۴۴۸ شعبه‌ی استانی و ۵۵ واحد غیرجغرافیایی) معرفی می‌کند. در مقابل، جدول مرجع سود پرداختی (`Interset_branch_sum`) به گفته‌ی مبنای بررسی، ۴۵۰ شعبه را پوشش می‌دهد؛ گزارش همچنین هشت شناسه‌ی داخلی با دو کد شعبه‌ی متفاوت را نیازمند تأیید می‌داند.</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این ارقام لزوماً متناقض نیستند؛ ممکن است بعضی شعب در یک جدول رکورد سود نداشته باشند یا به‌صورت متفاوت تجمیع شده باشند. اما چون نرخ هزینه‌ی تأمین مالی کل بانک از سود پرداختی شعب به دست می‌آید، کامل‌بودن و روش تجمیع این جدول مهم است.</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یک تطبیق شعبه‌ای بین فهرست شعب، جدول مبالغ سود پرداختی و گزارش رسمی کل بانک تهیه شود: تعداد کدها، کدهای بدون رکورد، کدهای تکراری/نگاشت‌شده و جمع سود نهایی. تا تأیید این تطبیق، نرخ ۱۰.۴۶ درصد با عنوان «محاسبه‌شده از جدول مرجع، نیازمند تأیید پوشش شعب» معرفی شود.</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ن-۱۰. نام‌گذاری سناریوهای بازده و عنوان «سقف» هنوز مستعد برداشت بیش از حد قطعی است  </w:t>
      </w:r>
      <w:r>
        <w:rPr>
          <w:rFonts w:ascii="Noto Sans Arabic" w:hAnsi="Noto Sans Arabic" w:eastAsia="Noto Sans Arabic" w:cs="Noto Sans Arabic"/>
          <w:b/>
          <w:color w:val="9A6500"/>
          <w:sz w:val="22"/>
        </w:rPr>
        <w:t>[مهم]</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خلاصه‌ی مدیریتی؛ فصل ۸، بخش‌های ۸.۴ و ۸.۵؛ فصل ۹، بخش ۹.۲</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گزارش بازده ۸.۸ درصدی را بازده بر کل مانده‌ی نمونه و کران پایین تحت فرض نبود درآمد از قراردادهای فاقد دفتر اقساط می‌داند؛ بازده ۱۳.۲ درصدی را در صورت رفتار مشابه بخش فاقد پوشش، برآورد بازده کل پرتفوی معرفی می‌کند. در همان متن تصریح شده که بخش فاقد رکورد قرارداد نسبت غیرجاری ۲۱ درصدی دارد و بازده آن احتمالاً پایین‌تر است.</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این توضیح مشروط مفید است، اما تکرار عبارت‌های «کران پایین»، «برآورد بازده کل پرتفوی» و «سقف» در خلاصه می‌تواند دو عدد سناریویی را به‌صورت دامنه‌ی محصورکننده‌ی آماری و قطعی جلوه دهد؛ خصوصاً که پوشش میانگین مانده ۶۶ درصد است و ترکیب و کیفیت بخش فاقد اطلاعات متفاوت است.</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عنوان‌ها به «سناریوی بدون درآمد از بخش فاقد دفتر اقساط» و «سناریوی رفتار مشابه بخش دارای دفتر اقساط» تغییر کنند. عبارت «کران» فقط زمانی حفظ شود که فرض‌های لازم برای کران ریاضی صریح و قابل دفاع باشند. برای حاشیه‌ی قراردادی نیز دامنه‌ی پوشش ۷۷.۶ درصدی کنار عدد درج شود.</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ن-۱۱. برخی نتیجه‌گیری‌های مدیریتی استانی هنوز فراتر از شواهد توصیفی‌اند  </w:t>
      </w:r>
      <w:r>
        <w:rPr>
          <w:rFonts w:ascii="Noto Sans Arabic" w:hAnsi="Noto Sans Arabic" w:eastAsia="Noto Sans Arabic" w:cs="Noto Sans Arabic"/>
          <w:b/>
          <w:color w:val="9A6500"/>
          <w:sz w:val="22"/>
        </w:rPr>
        <w:t>[مهم]</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فصل ۷، بخش ۷.۲ و پیشنهاد ۵ فصل ۹</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در v5 به‌درستی گفته شده داده‌ی تخصیص وجوه میان استان‌ها در دسترس نیست؛ اما عبارت پیشنهاد همچنان می‌گوید جذب سپرده در استان‌های با نسبت تسهیلات به منابع بالا «وابستگی به منابع سایر استان‌ها را کم می‌کند».</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نسبت تسهیلات به منابع استانی عدم‌توازن مانده‌های ثبت‌شده را نشان می‌دهد، نه لزوماً منشأ واقعی تأمین مالی یا قابلیت کاهش وابستگی با جذب سپرده‌ی محلی. این پیشنهاد ممکن است بدون تحلیل ظرفیت بازار سپرده، کشش نرخ و هزینه‌ی جذب اجراپذیر فرض شود.</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پیشنهاد را به «بررسی فرصت تجهیز منابع در استان‌های دارای نسبت بالای تسهیلات به منابع، با لحاظ ظرفیت بازار و هزینه‌ی جذب» تغییر دهید و اثر بر تخصیص بین‌استانی را تا دریافت داده‌ی جریان وجوه به‌عنوان فرضیه نگه دارید.</w:t>
      </w:r>
    </w:p>
    <w:p>
      <w:pPr>
        <w:spacing w:before="100" w:after="40" w:line="269" w:lineRule="auto"/>
        <w:jc w:val="right"/>
        <w:keepNext/>
        <w:keepLines/>
        <w:widowControl/>
        <w:bidi w:val="1"/>
      </w:pPr>
      <w:r>
        <w:rPr>
          <w:rFonts w:ascii="Noto Sans Arabic" w:hAnsi="Noto Sans Arabic" w:eastAsia="Noto Sans Arabic" w:cs="Noto Sans Arabic"/>
          <w:b/>
          <w:color w:val="17324D"/>
          <w:sz w:val="22"/>
        </w:rPr>
        <w:t xml:space="preserve">ن-۱۲. خلاصه‌ی مدیریتی درباره‌ی مسیر مطالبات غیرجاری، چند مبنای زمانی را در یک جمله مخلوط می‌کند  </w:t>
      </w:r>
      <w:r>
        <w:rPr>
          <w:rFonts w:ascii="Noto Sans Arabic" w:hAnsi="Noto Sans Arabic" w:eastAsia="Noto Sans Arabic" w:cs="Noto Sans Arabic"/>
          <w:b/>
          <w:color w:val="9A6500"/>
          <w:sz w:val="22"/>
        </w:rPr>
        <w:t>[مهم]</w:t>
      </w:r>
    </w:p>
    <w:p>
      <w:pPr>
        <w:spacing w:before="0" w:after="40" w:line="269" w:lineRule="auto"/>
        <w:jc w:val="right"/>
        <w:keepNext/>
        <w:keepLines/>
        <w:widowControl/>
        <w:bidi w:val="1"/>
      </w:pPr>
      <w:r>
        <w:rPr>
          <w:rFonts w:ascii="Noto Sans Arabic" w:hAnsi="Noto Sans Arabic" w:eastAsia="Noto Sans Arabic" w:cs="Noto Sans Arabic"/>
          <w:b/>
          <w:color w:val="5A6B78"/>
          <w:sz w:val="18"/>
        </w:rPr>
        <w:t xml:space="preserve">محل: </w:t>
      </w:r>
      <w:r>
        <w:rPr>
          <w:rFonts w:ascii="Noto Sans Arabic" w:hAnsi="Noto Sans Arabic" w:eastAsia="Noto Sans Arabic" w:cs="Noto Sans Arabic"/>
          <w:b w:val="0"/>
          <w:sz w:val="18"/>
        </w:rPr>
        <w:t>خلاصه‌ی مدیریتی، صفحه‌ی یافته‌های برجسته</w:t>
      </w:r>
    </w:p>
    <w:p>
      <w:pPr>
        <w:spacing w:before="0" w:after="40" w:line="269" w:lineRule="auto"/>
        <w:jc w:val="right"/>
        <w:keepLines/>
        <w:widowControl/>
        <w:bidi w:val="1"/>
      </w:pPr>
      <w:r>
        <w:rPr>
          <w:rFonts w:ascii="Noto Sans Arabic" w:hAnsi="Noto Sans Arabic" w:eastAsia="Noto Sans Arabic" w:cs="Noto Sans Arabic"/>
          <w:b/>
          <w:sz w:val="18"/>
        </w:rPr>
        <w:t xml:space="preserve">شاهد و یافته: </w:t>
      </w:r>
      <w:r>
        <w:rPr>
          <w:rFonts w:ascii="Noto Sans Arabic" w:hAnsi="Noto Sans Arabic" w:eastAsia="Noto Sans Arabic" w:cs="Noto Sans Arabic"/>
          <w:b w:val="0"/>
          <w:sz w:val="18"/>
        </w:rPr>
        <w:t>در یک بند، نسبت رسمی مطالبات غیرجاری از ۳.۵ درصد در ۰۱/۱۴۰۳ به حدود ۸.۵ درصد در میانه‌ی ۱۴۰۴ و سپس ۸.۰ درصد در پایان سال ذکر شده و هم‌زمان ۱۲/۱۴۰۳ با ۴.۶ درصد «کف فصلی» معرفی شده است. از آنجا که عدد ۳.۵ درصد از ۴.۶ درصد پایین‌تر است، واژه‌ی «کف» بدون محدودکردن دوره یا مقایسه روشن نیست.</w:t>
      </w:r>
    </w:p>
    <w:p>
      <w:pPr>
        <w:spacing w:before="0" w:after="40" w:line="269" w:lineRule="auto"/>
        <w:jc w:val="right"/>
        <w:keepLines/>
        <w:widowControl/>
        <w:bidi w:val="1"/>
      </w:pPr>
      <w:r>
        <w:rPr>
          <w:rFonts w:ascii="Noto Sans Arabic" w:hAnsi="Noto Sans Arabic" w:eastAsia="Noto Sans Arabic" w:cs="Noto Sans Arabic"/>
          <w:b/>
          <w:sz w:val="18"/>
        </w:rPr>
        <w:t xml:space="preserve">اهمیت: </w:t>
      </w:r>
      <w:r>
        <w:rPr>
          <w:rFonts w:ascii="Noto Sans Arabic" w:hAnsi="Noto Sans Arabic" w:eastAsia="Noto Sans Arabic" w:cs="Noto Sans Arabic"/>
          <w:b w:val="0"/>
          <w:sz w:val="18"/>
        </w:rPr>
        <w:t>مدیر نمی‌داند نقطه‌ی آغاز افزایش، پایین‌ترین مقدار کل بازه است یا صرفاً مبنای مقایسه با پایان سال ۱۴۰۳. این ابهام می‌تواند تصویر روند را مخدوش کند.</w:t>
      </w:r>
    </w:p>
    <w:p>
      <w:pPr>
        <w:spacing w:before="0" w:after="100" w:line="269" w:lineRule="auto"/>
        <w:jc w:val="right"/>
        <w:keepLines/>
        <w:widowControl/>
        <w:bidi w:val="1"/>
      </w:pPr>
      <w:r>
        <w:rPr>
          <w:rFonts w:ascii="Noto Sans Arabic" w:hAnsi="Noto Sans Arabic" w:eastAsia="Noto Sans Arabic" w:cs="Noto Sans Arabic"/>
          <w:b/>
          <w:color w:val="2E6E73"/>
          <w:sz w:val="18"/>
        </w:rPr>
        <w:t xml:space="preserve">اقدام پیشنهادی: </w:t>
      </w:r>
      <w:r>
        <w:rPr>
          <w:rFonts w:ascii="Noto Sans Arabic" w:hAnsi="Noto Sans Arabic" w:eastAsia="Noto Sans Arabic" w:cs="Noto Sans Arabic"/>
          <w:b w:val="0"/>
          <w:sz w:val="18"/>
        </w:rPr>
        <w:t>یک مقایسه‌ی واحد برای خلاصه انتخاب شود؛ پیشنهاد: «نسبت مطالبات غیرجاری رسمی از ۴.۶ درصد در ۱۲/۱۴۰۳ به ۸.۰ درصد در ۱۲/۱۴۰۴ افزایش یافت». اگر عدد ۳.۵ درصد در ۰۱/۱۴۰۳ برای نشان‌دادن روند بلندتر لازم است، آن را در جمله‌ی جداگانه و با تعریف «نقطه‌ی آغاز سری» ذکر کنید.</w:t>
      </w:r>
    </w:p>
    <w:p>
      <w:pPr>
        <w:spacing w:before="160" w:after="80" w:line="240" w:lineRule="auto"/>
        <w:jc w:val="right"/>
        <w:keepLines/>
        <w:widowControl/>
        <w:bidi w:val="1"/>
        <w:keepNext/>
      </w:pPr>
      <w:r>
        <w:rPr>
          <w:rFonts w:ascii="Noto Sans Arabic" w:hAnsi="Noto Sans Arabic" w:eastAsia="Noto Sans Arabic" w:cs="Noto Sans Arabic"/>
          <w:b/>
          <w:color w:val="17324D"/>
          <w:sz w:val="30"/>
        </w:rPr>
        <w:t>۴. یافته‌های پیوست اکسل و کنترل عددی</w:t>
      </w:r>
    </w:p>
    <w:p>
      <w:pPr>
        <w:spacing w:before="0" w:after="80" w:line="269" w:lineRule="auto"/>
        <w:jc w:val="right"/>
        <w:keepLines/>
        <w:widowControl/>
        <w:bidi w:val="1"/>
      </w:pPr>
      <w:r>
        <w:rPr>
          <w:rFonts w:ascii="Noto Sans Arabic" w:hAnsi="Noto Sans Arabic" w:eastAsia="Noto Sans Arabic" w:cs="Noto Sans Arabic"/>
          <w:b w:val="0"/>
          <w:sz w:val="19"/>
        </w:rPr>
        <w:t>فایل «پیوست الف» به‌عنوان مجموعه‌ی جدول‌های گزارش بررسی شد. بسیاری از مقادیر کلیدی متن و پیوست هم‌خوان‌اند؛ اما پیوست باید همان کنترل‌های رفع مغایرت را منعکس کند، نه اینکه فقط نسخه‌ی جدولی متن باشد. موارد زیر باید هم‌زمان در هر دو فایل اصلاح یا مستند شوند.</w:t>
      </w:r>
    </w:p>
    <w:tbl>
      <w:tblPr>
        <w:tblW w:type="auto" w:w="0"/>
        <w:tblLook w:firstColumn="1" w:firstRow="1" w:lastColumn="0" w:lastRow="0" w:noHBand="0" w:noVBand="1" w:val="04A0"/>
        <w:bidiVisual w:val="1"/>
        <w:jc w:val="center"/>
        <w:tblBorders>
          <w:top w:val="single" w:sz="4" w:color="D4DEE3"/>
          <w:left w:val="single" w:sz="4" w:color="D4DEE3"/>
          <w:bottom w:val="single" w:sz="4" w:color="D4DEE3"/>
          <w:right w:val="single" w:sz="4" w:color="D4DEE3"/>
          <w:insideH w:val="single" w:sz="4" w:color="D4DEE3"/>
          <w:insideV w:val="single" w:sz="4" w:color="D4DEE3"/>
        </w:tblBorders>
        <w:bidiVisual w:val="1"/>
        <w:tblBorders>
          <w:top w:val="single" w:sz="4" w:color="D4DEE3"/>
          <w:left w:val="single" w:sz="4" w:color="D4DEE3"/>
          <w:bottom w:val="single" w:sz="4" w:color="D4DEE3"/>
          <w:right w:val="single" w:sz="4" w:color="D4DEE3"/>
          <w:insideH w:val="single" w:sz="4" w:color="D4DEE3"/>
          <w:insideV w:val="single" w:sz="4" w:color="D4DEE3"/>
        </w:tblBorders>
      </w:tblPr>
      <w:tblGrid>
        <w:gridCol w:w="2509"/>
        <w:gridCol w:w="2509"/>
        <w:gridCol w:w="2509"/>
        <w:gridCol w:w="2509"/>
      </w:tblGrid>
      <w:tr>
        <w:trPr>
          <w:tblHeader w:val="true"/>
        </w:trPr>
        <w:tc>
          <w:tcPr>
            <w:tcW w:type="dxa" w:w="936"/>
            <w:vAlign w:val="center"/>
            <w:tcMar>
              <w:top w:w="70" w:type="dxa"/>
              <w:start w:w="90" w:type="dxa"/>
              <w:bottom w:w="70" w:type="dxa"/>
              <w:end w:w="90" w:type="dxa"/>
            </w:tcMar>
            <w:shd w:fill="17324D"/>
          </w:tcPr>
          <w:p>
            <w:pPr>
              <w:spacing w:before="0" w:after="0" w:line="240" w:lineRule="auto"/>
              <w:jc w:val="right"/>
              <w:keepLines/>
              <w:widowControl/>
              <w:bidi w:val="1"/>
            </w:pPr>
            <w:r>
              <w:rPr>
                <w:rFonts w:ascii="Noto Sans Arabic" w:hAnsi="Noto Sans Arabic" w:eastAsia="Noto Sans Arabic" w:cs="Noto Sans Arabic"/>
                <w:b/>
                <w:color w:val="FFFFFF"/>
                <w:sz w:val="16"/>
              </w:rPr>
              <w:t>شناسه</w:t>
            </w:r>
          </w:p>
        </w:tc>
        <w:tc>
          <w:tcPr>
            <w:tcW w:type="dxa" w:w="1944"/>
            <w:vAlign w:val="center"/>
            <w:tcMar>
              <w:top w:w="70" w:type="dxa"/>
              <w:start w:w="90" w:type="dxa"/>
              <w:bottom w:w="70" w:type="dxa"/>
              <w:end w:w="90" w:type="dxa"/>
            </w:tcMar>
            <w:shd w:fill="17324D"/>
          </w:tcPr>
          <w:p>
            <w:pPr>
              <w:spacing w:before="0" w:after="0" w:line="240" w:lineRule="auto"/>
              <w:jc w:val="right"/>
              <w:keepLines/>
              <w:widowControl/>
              <w:bidi w:val="1"/>
            </w:pPr>
            <w:r>
              <w:rPr>
                <w:rFonts w:ascii="Noto Sans Arabic" w:hAnsi="Noto Sans Arabic" w:eastAsia="Noto Sans Arabic" w:cs="Noto Sans Arabic"/>
                <w:b/>
                <w:color w:val="FFFFFF"/>
                <w:sz w:val="16"/>
              </w:rPr>
              <w:t>موضوع کنترل</w:t>
            </w:r>
          </w:p>
        </w:tc>
        <w:tc>
          <w:tcPr>
            <w:tcW w:type="dxa" w:w="4320"/>
            <w:vAlign w:val="center"/>
            <w:tcMar>
              <w:top w:w="70" w:type="dxa"/>
              <w:start w:w="90" w:type="dxa"/>
              <w:bottom w:w="70" w:type="dxa"/>
              <w:end w:w="90" w:type="dxa"/>
            </w:tcMar>
            <w:shd w:fill="17324D"/>
          </w:tcPr>
          <w:p>
            <w:pPr>
              <w:spacing w:before="0" w:after="0" w:line="240" w:lineRule="auto"/>
              <w:jc w:val="right"/>
              <w:keepLines/>
              <w:widowControl/>
              <w:bidi w:val="1"/>
            </w:pPr>
            <w:r>
              <w:rPr>
                <w:rFonts w:ascii="Noto Sans Arabic" w:hAnsi="Noto Sans Arabic" w:eastAsia="Noto Sans Arabic" w:cs="Noto Sans Arabic"/>
                <w:b/>
                <w:color w:val="FFFFFF"/>
                <w:sz w:val="16"/>
              </w:rPr>
              <w:t>نتیجه‌ی بازبینی</w:t>
            </w:r>
          </w:p>
        </w:tc>
        <w:tc>
          <w:tcPr>
            <w:tcW w:type="dxa" w:w="3168"/>
            <w:vAlign w:val="center"/>
            <w:tcMar>
              <w:top w:w="70" w:type="dxa"/>
              <w:start w:w="90" w:type="dxa"/>
              <w:bottom w:w="70" w:type="dxa"/>
              <w:end w:w="90" w:type="dxa"/>
            </w:tcMar>
            <w:shd w:fill="17324D"/>
          </w:tcPr>
          <w:p>
            <w:pPr>
              <w:spacing w:before="0" w:after="0" w:line="240" w:lineRule="auto"/>
              <w:jc w:val="right"/>
              <w:keepLines/>
              <w:widowControl/>
              <w:bidi w:val="1"/>
            </w:pPr>
            <w:r>
              <w:rPr>
                <w:rFonts w:ascii="Noto Sans Arabic" w:hAnsi="Noto Sans Arabic" w:eastAsia="Noto Sans Arabic" w:cs="Noto Sans Arabic"/>
                <w:b/>
                <w:color w:val="FFFFFF"/>
                <w:sz w:val="16"/>
              </w:rPr>
              <w:t>اقدام در پیوست</w:t>
            </w:r>
          </w:p>
        </w:tc>
      </w:tr>
      <w:tr>
        <w:tc>
          <w:tcPr>
            <w:tcW w:type="dxa" w:w="936"/>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اک-۱</w:t>
            </w:r>
          </w:p>
        </w:tc>
        <w:tc>
          <w:tcPr>
            <w:tcW w:type="dxa" w:w="1944"/>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حساب‌های یکتا</w:t>
            </w:r>
          </w:p>
        </w:tc>
        <w:tc>
          <w:tcPr>
            <w:tcW w:type="dxa" w:w="4320"/>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۲٬۰۹۰٬۲۶۱ حساب یکتا در جدول فعالیت ماهانه در برابر ۲٬۱۰۳٬۰۴۷ حساب در جدول پایان ۱۲/۱۴۰۴؛ نیازمند بازتولید با کلید و فیلتر یکسان است.</w:t>
            </w:r>
          </w:p>
        </w:tc>
        <w:tc>
          <w:tcPr>
            <w:tcW w:type="dxa" w:w="3168"/>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اصلاح هر دو جدول و ثبت تعریف موجودیت یکتا/دامنه‌ی زمانی.</w:t>
            </w:r>
          </w:p>
        </w:tc>
      </w:tr>
      <w:tr>
        <w:tc>
          <w:tcPr>
            <w:tcW w:type="dxa" w:w="936"/>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اک-۲</w:t>
            </w:r>
          </w:p>
        </w:tc>
        <w:tc>
          <w:tcPr>
            <w:tcW w:type="dxa" w:w="1944"/>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نوع ثبت‌نشده‌ی سپرده</w:t>
            </w:r>
          </w:p>
        </w:tc>
        <w:tc>
          <w:tcPr>
            <w:tcW w:type="dxa" w:w="4320"/>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۸۴۸٬۵۵۳ حساب با نوع ثبت‌نشده معرفی شده؛ باید روشن شود چه تعداد فاقد ردیف مشخصات حساب و چه تعداد دارای ردیف ولی فاقد نوع‌اند.</w:t>
            </w:r>
          </w:p>
        </w:tc>
        <w:tc>
          <w:tcPr>
            <w:tcW w:type="dxa" w:w="3168"/>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جدول تفکیکی بر اساس وجود/عدم وجود رکورد مشخصات و مقدار نوع اضافه شود.</w:t>
            </w:r>
          </w:p>
        </w:tc>
      </w:tr>
      <w:tr>
        <w:tc>
          <w:tcPr>
            <w:tcW w:type="dxa" w:w="936"/>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اک-۳</w:t>
            </w:r>
          </w:p>
        </w:tc>
        <w:tc>
          <w:tcPr>
            <w:tcW w:type="dxa" w:w="1944"/>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طبقات مانده‌ی تسهیلات</w:t>
            </w:r>
          </w:p>
        </w:tc>
        <w:tc>
          <w:tcPr>
            <w:tcW w:type="dxa" w:w="4320"/>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اعداد جدول طراحی و درصد پوشش طبقات بالای تسهیلات قابل تطبیق مستقیم نیستند.</w:t>
            </w:r>
          </w:p>
        </w:tc>
        <w:tc>
          <w:tcPr>
            <w:tcW w:type="dxa" w:w="3168"/>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نتیجه‌ی تطبیق شناسه‌محور در شیت فصل ۱ و فصل ۲ درج شود یا برآوردهای پوشش برچسب مشروط بگیرند.</w:t>
            </w:r>
          </w:p>
        </w:tc>
      </w:tr>
      <w:tr>
        <w:tc>
          <w:tcPr>
            <w:tcW w:type="dxa" w:w="936"/>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اک-۴</w:t>
            </w:r>
          </w:p>
        </w:tc>
        <w:tc>
          <w:tcPr>
            <w:tcW w:type="dxa" w:w="1944"/>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جمعیت جغرافیایی</w:t>
            </w:r>
          </w:p>
        </w:tc>
        <w:tc>
          <w:tcPr>
            <w:tcW w:type="dxa" w:w="4320"/>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نسبت‌های ۸۴.۴ و ۱۵.۶ درصد با مخرج ۷۱۳٬۹۶۶ درست‌اند، ولی این مخرج باید از جمعیت فصل ۳ جدا معرفی شود.</w:t>
            </w:r>
          </w:p>
        </w:tc>
        <w:tc>
          <w:tcPr>
            <w:tcW w:type="dxa" w:w="3168"/>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یادداشت تعریف مخرج و تعداد همپوشانی‌ها اضافه شود.</w:t>
            </w:r>
          </w:p>
        </w:tc>
      </w:tr>
      <w:tr>
        <w:tc>
          <w:tcPr>
            <w:tcW w:type="dxa" w:w="936"/>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اک-۵</w:t>
            </w:r>
          </w:p>
        </w:tc>
        <w:tc>
          <w:tcPr>
            <w:tcW w:type="dxa" w:w="1944"/>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همبستگی مطالبات</w:t>
            </w:r>
          </w:p>
        </w:tc>
        <w:tc>
          <w:tcPr>
            <w:tcW w:type="dxa" w:w="4320"/>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باید در همه‌ی خلاصه‌ها مخرج ۵۸ ماه قابل مقایسه یکسان باشد.</w:t>
            </w:r>
          </w:p>
        </w:tc>
        <w:tc>
          <w:tcPr>
            <w:tcW w:type="dxa" w:w="3168"/>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هر کاربرد «۶۰ ماه همبستگی» به «۵۸ ماه قابل مقایسه» اصلاح شود.</w:t>
            </w:r>
          </w:p>
        </w:tc>
      </w:tr>
      <w:tr>
        <w:tc>
          <w:tcPr>
            <w:tcW w:type="dxa" w:w="936"/>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اک-۶</w:t>
            </w:r>
          </w:p>
        </w:tc>
        <w:tc>
          <w:tcPr>
            <w:tcW w:type="dxa" w:w="1944"/>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نرخ و حاشیه‌ی قراردادی</w:t>
            </w:r>
          </w:p>
        </w:tc>
        <w:tc>
          <w:tcPr>
            <w:tcW w:type="dxa" w:w="4320"/>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۱۷.۰۸−۱۰.۴۶=۶.۶۲ واحد درصد و ۶.۶ واحد درصد پس از گردکردن صحیح است؛ ضرب آن در ۱۲۲.۸ همت حدود ۸.۱ همت می‌شود، اما تعمیم نرخ به کل پرتفوی اثبات نشده است.</w:t>
            </w:r>
          </w:p>
        </w:tc>
        <w:tc>
          <w:tcPr>
            <w:tcW w:type="dxa" w:w="3168"/>
            <w:vAlign w:val="center"/>
            <w:tcMar>
              <w:top w:w="70" w:type="dxa"/>
              <w:start w:w="90" w:type="dxa"/>
              <w:bottom w:w="70" w:type="dxa"/>
              <w:end w:w="90" w:type="dxa"/>
            </w:tcMar>
            <w:shd w:fill="F4F7F8"/>
          </w:tcPr>
          <w:p>
            <w:pPr>
              <w:spacing w:before="0" w:after="0" w:line="240" w:lineRule="auto"/>
              <w:jc w:val="right"/>
              <w:keepLines/>
              <w:widowControl/>
              <w:bidi w:val="1"/>
            </w:pPr>
            <w:r>
              <w:rPr>
                <w:rFonts w:ascii="Noto Sans Arabic" w:hAnsi="Noto Sans Arabic" w:eastAsia="Noto Sans Arabic" w:cs="Noto Sans Arabic"/>
                <w:sz w:val="16"/>
              </w:rPr>
              <w:t>عدد کل بانک حذف یا با عنوان سناریوی فرضی و فرض تعمیم پوشش‌داده‌شده ارائه شود.</w:t>
            </w:r>
          </w:p>
        </w:tc>
      </w:tr>
      <w:tr>
        <w:tc>
          <w:tcPr>
            <w:tcW w:type="dxa" w:w="936"/>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اک-۷</w:t>
            </w:r>
          </w:p>
        </w:tc>
        <w:tc>
          <w:tcPr>
            <w:tcW w:type="dxa" w:w="1944"/>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جدول‌های خروجی</w:t>
            </w:r>
          </w:p>
        </w:tc>
        <w:tc>
          <w:tcPr>
            <w:tcW w:type="dxa" w:w="4320"/>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شماره‌گذاری مستقل فصل‌ها و عناوین شیت‌ها عموماً به ساختار گزارش نزدیک است.</w:t>
            </w:r>
          </w:p>
        </w:tc>
        <w:tc>
          <w:tcPr>
            <w:tcW w:type="dxa" w:w="3168"/>
            <w:vAlign w:val="center"/>
            <w:tcMar>
              <w:top w:w="70" w:type="dxa"/>
              <w:start w:w="90" w:type="dxa"/>
              <w:bottom w:w="70" w:type="dxa"/>
              <w:end w:w="90" w:type="dxa"/>
            </w:tcMar>
          </w:tcPr>
          <w:p>
            <w:pPr>
              <w:spacing w:before="0" w:after="0" w:line="240" w:lineRule="auto"/>
              <w:jc w:val="right"/>
              <w:keepLines/>
              <w:widowControl/>
              <w:bidi w:val="1"/>
            </w:pPr>
            <w:r>
              <w:rPr>
                <w:rFonts w:ascii="Noto Sans Arabic" w:hAnsi="Noto Sans Arabic" w:eastAsia="Noto Sans Arabic" w:cs="Noto Sans Arabic"/>
                <w:sz w:val="16"/>
              </w:rPr>
              <w:t>پس از اصلاح نهایی، یک بار شماره‌ی همه‌ی جداول بین گزارش و اکسل کنترل شود.</w:t>
            </w:r>
          </w:p>
        </w:tc>
      </w:tr>
    </w:tbl>
    <w:p>
      <w:pPr>
        <w:spacing w:after="20"/>
      </w:pPr>
    </w:p>
    <w:p>
      <w:pPr>
        <w:spacing w:before="160" w:after="80" w:line="240" w:lineRule="auto"/>
        <w:jc w:val="right"/>
        <w:keepLines/>
        <w:widowControl/>
        <w:bidi w:val="1"/>
        <w:keepNext/>
      </w:pPr>
      <w:r>
        <w:rPr>
          <w:rFonts w:ascii="Noto Sans Arabic" w:hAnsi="Noto Sans Arabic" w:eastAsia="Noto Sans Arabic" w:cs="Noto Sans Arabic"/>
          <w:b/>
          <w:color w:val="17324D"/>
          <w:sz w:val="30"/>
        </w:rPr>
        <w:t>۵. کنترل نسخه، زبان و ارائه</w:t>
      </w:r>
    </w:p>
    <w:p>
      <w:pPr>
        <w:spacing w:before="0" w:after="100" w:line="269" w:lineRule="auto"/>
        <w:jc w:val="right"/>
        <w:keepLines/>
        <w:widowControl/>
        <w:bidi w:val="1"/>
      </w:pPr>
      <w:r>
        <w:rPr>
          <w:rFonts w:ascii="Noto Sans Arabic" w:hAnsi="Noto Sans Arabic" w:eastAsia="Noto Sans Arabic" w:cs="Noto Sans Arabic"/>
          <w:b/>
          <w:color w:val="A33B32"/>
          <w:sz w:val="19"/>
        </w:rPr>
        <w:t xml:space="preserve">وضعیت نسخه: </w:t>
      </w:r>
      <w:r>
        <w:rPr>
          <w:rFonts w:ascii="Noto Sans Arabic" w:hAnsi="Noto Sans Arabic" w:eastAsia="Noto Sans Arabic" w:cs="Noto Sans Arabic"/>
          <w:b w:val="0"/>
          <w:sz w:val="19"/>
        </w:rPr>
        <w:t>روی صفحه‌ی مشخصات سند همچنان «نسخه‌ی چهارم، جهت بررسی کارفرما» آمده است، درحالی‌که فایل به‌عنوان نسخه‌ی اصلاحی v5 ارسال شده است. این خطا باید پیش از انتشار اصلاح شود؛ عنوان «گزارش نهایی» نیز با وضعیت «جهت بررسی کارفرما» یکدست شود.</w:t>
      </w:r>
    </w:p>
    <w:p>
      <w:pPr>
        <w:spacing w:before="0" w:after="80" w:line="269" w:lineRule="auto"/>
        <w:jc w:val="right"/>
        <w:keepLines/>
        <w:widowControl/>
        <w:bidi w:val="1"/>
      </w:pPr>
      <w:r>
        <w:rPr>
          <w:rFonts w:ascii="Noto Sans Arabic" w:hAnsi="Noto Sans Arabic" w:eastAsia="Noto Sans Arabic" w:cs="Noto Sans Arabic"/>
          <w:b w:val="0"/>
          <w:sz w:val="19"/>
        </w:rPr>
        <w:t>در بازبینی نگارشی، ساختار کلی گزارش برای مخاطب مدیریتی قابل دنبال‌کردن است. با این‌حال، تکرار نام‌های فنی جداول بدون توضیح فارسی، به‌ویژه در پرسش‌های فنی، و استفاده از عبارت‌های «قابل‌تأیید»، «نمونه‌ی تحلیلی» و «کل بانک» با مخرج‌های متفاوت، می‌تواند خواننده‌ی غیرمتخصص را سردرگم کند. در نسخه‌ی نهایی، هر جدول اصلی باید مخرج، مقطع و دامنه‌ی پوشش را در عنوان یا یادداشت زیر جدول نشان دهد.</w:t>
      </w:r>
    </w:p>
    <w:p>
      <w:pPr>
        <w:spacing w:before="0" w:after="80" w:line="269" w:lineRule="auto"/>
        <w:jc w:val="right"/>
        <w:keepLines/>
        <w:widowControl/>
        <w:bidi w:val="1"/>
      </w:pPr>
      <w:r>
        <w:rPr>
          <w:rFonts w:ascii="Noto Sans Arabic" w:hAnsi="Noto Sans Arabic" w:eastAsia="Noto Sans Arabic" w:cs="Noto Sans Arabic"/>
          <w:b w:val="0"/>
          <w:sz w:val="19"/>
        </w:rPr>
        <w:t>نشانه‌های قالبی نگارش نسبت به نسخه‌ی قبل کمتر شده‌اند، اما عبارت‌های قطعی مانند «مهم‌ترین ظرفیت» یا «بیشترین اثر» بهتر است تنها در جایی حفظ شوند که معیار اولویت‌بندی یا شواهد کمی آن به‌صراحت آمده باشد. در پیشنهادهای فصل ۹، هر اقدام به «یافته‌ی پشتیبان، پیش‌شرط داده‌ای و شاخص پایش» متصل شود.</w:t>
      </w:r>
    </w:p>
    <w:p>
      <w:pPr>
        <w:spacing w:before="0" w:after="80" w:line="269" w:lineRule="auto"/>
        <w:jc w:val="right"/>
        <w:keepLines/>
        <w:widowControl/>
        <w:bidi w:val="1"/>
      </w:pPr>
      <w:r>
        <w:rPr>
          <w:rFonts w:ascii="Noto Sans Arabic" w:hAnsi="Noto Sans Arabic" w:eastAsia="Noto Sans Arabic" w:cs="Noto Sans Arabic"/>
          <w:b w:val="0"/>
          <w:color w:val="5A6B78"/>
          <w:sz w:val="18"/>
        </w:rPr>
        <w:t>کنترل بصری: متن و جدول‌های اصلی به‌صورت استخراج‌شده بررسی شدند و صفحات منتخب از فایل رندرشده از نظر چیدمان، خوانایی جدول و نبود برش واضح وارسی شدند. ارزیابی تصویری تمام نمودارها و تمام صفحات به‌طور کامل انجام نشده است؛ بنابراین تأیید نهایی محور خوانایی نمودارها نیازمند بازبینی نسخه‌ی نهایی صفحه‌آرایی‌شده است.</w:t>
      </w:r>
    </w:p>
    <w:p>
      <w:pPr>
        <w:spacing w:before="160" w:after="80" w:line="240" w:lineRule="auto"/>
        <w:jc w:val="right"/>
        <w:keepLines/>
        <w:widowControl/>
        <w:bidi w:val="1"/>
        <w:keepNext/>
      </w:pPr>
      <w:r>
        <w:rPr>
          <w:rFonts w:ascii="Noto Sans Arabic" w:hAnsi="Noto Sans Arabic" w:eastAsia="Noto Sans Arabic" w:cs="Noto Sans Arabic"/>
          <w:b/>
          <w:color w:val="17324D"/>
          <w:sz w:val="30"/>
        </w:rPr>
        <w:t>۶. فهرست اقدام پیش از تأیید نهایی</w:t>
      </w:r>
    </w:p>
    <w:p>
      <w:pPr>
        <w:spacing w:before="0" w:after="80" w:line="269" w:lineRule="auto"/>
        <w:jc w:val="right"/>
        <w:keepLines/>
        <w:widowControl/>
        <w:bidi w:val="1"/>
      </w:pPr>
      <w:r>
        <w:rPr>
          <w:rFonts w:ascii="Noto Sans Arabic" w:hAnsi="Noto Sans Arabic" w:eastAsia="Noto Sans Arabic" w:cs="Noto Sans Arabic"/>
          <w:b/>
          <w:color w:val="2E6E73"/>
          <w:sz w:val="18"/>
        </w:rPr>
        <w:t xml:space="preserve">1. </w:t>
      </w:r>
      <w:r>
        <w:rPr>
          <w:rFonts w:ascii="Noto Sans Arabic" w:hAnsi="Noto Sans Arabic" w:eastAsia="Noto Sans Arabic" w:cs="Noto Sans Arabic"/>
          <w:b w:val="0"/>
          <w:sz w:val="18"/>
        </w:rPr>
        <w:t>تطبیق مکتوب نمونه‌ی مستقیم سپرده، جمعیت پیوندخورده‌ی طرف‌های قرارداد و جمعیت تحلیلی گسترش‌یافته؛ اصلاح درصدهای مبتنی بر هرکدام.</w:t>
      </w:r>
    </w:p>
    <w:p>
      <w:pPr>
        <w:spacing w:before="0" w:after="80" w:line="269" w:lineRule="auto"/>
        <w:jc w:val="right"/>
        <w:keepLines/>
        <w:widowControl/>
        <w:bidi w:val="1"/>
      </w:pPr>
      <w:r>
        <w:rPr>
          <w:rFonts w:ascii="Noto Sans Arabic" w:hAnsi="Noto Sans Arabic" w:eastAsia="Noto Sans Arabic" w:cs="Noto Sans Arabic"/>
          <w:b/>
          <w:color w:val="2E6E73"/>
          <w:sz w:val="18"/>
        </w:rPr>
        <w:t xml:space="preserve">2. </w:t>
      </w:r>
      <w:r>
        <w:rPr>
          <w:rFonts w:ascii="Noto Sans Arabic" w:hAnsi="Noto Sans Arabic" w:eastAsia="Noto Sans Arabic" w:cs="Noto Sans Arabic"/>
          <w:b w:val="0"/>
          <w:sz w:val="18"/>
        </w:rPr>
        <w:t>تطبیق شناسه‌به‌شناسه‌ی فهرست گیرندگان اصلی، فهرست مانده‌داران تسهیلات، جمعیت طراحی‌شده و طبقات مانده؛ تعلیق ادعاهای پوشش بالا تا پایان تطبیق.</w:t>
      </w:r>
    </w:p>
    <w:p>
      <w:pPr>
        <w:spacing w:before="0" w:after="80" w:line="269" w:lineRule="auto"/>
        <w:jc w:val="right"/>
        <w:keepLines/>
        <w:widowControl/>
        <w:bidi w:val="1"/>
      </w:pPr>
      <w:r>
        <w:rPr>
          <w:rFonts w:ascii="Noto Sans Arabic" w:hAnsi="Noto Sans Arabic" w:eastAsia="Noto Sans Arabic" w:cs="Noto Sans Arabic"/>
          <w:b/>
          <w:color w:val="2E6E73"/>
          <w:sz w:val="18"/>
        </w:rPr>
        <w:t xml:space="preserve">3. </w:t>
      </w:r>
      <w:r>
        <w:rPr>
          <w:rFonts w:ascii="Noto Sans Arabic" w:hAnsi="Noto Sans Arabic" w:eastAsia="Noto Sans Arabic" w:cs="Noto Sans Arabic"/>
          <w:b w:val="0"/>
          <w:sz w:val="18"/>
        </w:rPr>
        <w:t>بازمحاسبه‌ی شمار حساب‌های یکتا در کل جدول فعالیت و مقطع ۱۲/۱۴۰۴؛ تفکیک حساب‌های فاقد مشخصات از حساب‌های دارای نوع خالی.</w:t>
      </w:r>
    </w:p>
    <w:p>
      <w:pPr>
        <w:spacing w:before="0" w:after="80" w:line="269" w:lineRule="auto"/>
        <w:jc w:val="right"/>
        <w:keepLines/>
        <w:widowControl/>
        <w:bidi w:val="1"/>
      </w:pPr>
      <w:r>
        <w:rPr>
          <w:rFonts w:ascii="Noto Sans Arabic" w:hAnsi="Noto Sans Arabic" w:eastAsia="Noto Sans Arabic" w:cs="Noto Sans Arabic"/>
          <w:b/>
          <w:color w:val="2E6E73"/>
          <w:sz w:val="18"/>
        </w:rPr>
        <w:t xml:space="preserve">4. </w:t>
      </w:r>
      <w:r>
        <w:rPr>
          <w:rFonts w:ascii="Noto Sans Arabic" w:hAnsi="Noto Sans Arabic" w:eastAsia="Noto Sans Arabic" w:cs="Noto Sans Arabic"/>
          <w:b w:val="0"/>
          <w:sz w:val="18"/>
        </w:rPr>
        <w:t>اصلاح دامنه‌ی برآورد حاشیه‌ی قراردادی و توضیح فرض‌های سناریوهای بازده نقدی؛ حذف نسبت‌دادن علّی ۰.۹ واحد درصدی به مطالبات غیرجاری یا صریح‌کردن فرض آن.</w:t>
      </w:r>
    </w:p>
    <w:p>
      <w:pPr>
        <w:spacing w:before="0" w:after="80" w:line="269" w:lineRule="auto"/>
        <w:jc w:val="right"/>
        <w:keepLines/>
        <w:widowControl/>
        <w:bidi w:val="1"/>
      </w:pPr>
      <w:r>
        <w:rPr>
          <w:rFonts w:ascii="Noto Sans Arabic" w:hAnsi="Noto Sans Arabic" w:eastAsia="Noto Sans Arabic" w:cs="Noto Sans Arabic"/>
          <w:b/>
          <w:color w:val="2E6E73"/>
          <w:sz w:val="18"/>
        </w:rPr>
        <w:t xml:space="preserve">5. </w:t>
      </w:r>
      <w:r>
        <w:rPr>
          <w:rFonts w:ascii="Noto Sans Arabic" w:hAnsi="Noto Sans Arabic" w:eastAsia="Noto Sans Arabic" w:cs="Noto Sans Arabic"/>
          <w:b w:val="0"/>
          <w:sz w:val="18"/>
        </w:rPr>
        <w:t>یکسان‌سازی «۵۸ ماه قابل مقایسه» در خلاصه‌ی مدیریتی، فصل ۶ و فصل ۹؛ شفاف‌سازی مبنای زمانی روند مطالبات غیرجاری در خلاصه.</w:t>
      </w:r>
    </w:p>
    <w:p>
      <w:pPr>
        <w:spacing w:before="0" w:after="80" w:line="269" w:lineRule="auto"/>
        <w:jc w:val="right"/>
        <w:keepLines/>
        <w:widowControl/>
        <w:bidi w:val="1"/>
      </w:pPr>
      <w:r>
        <w:rPr>
          <w:rFonts w:ascii="Noto Sans Arabic" w:hAnsi="Noto Sans Arabic" w:eastAsia="Noto Sans Arabic" w:cs="Noto Sans Arabic"/>
          <w:b/>
          <w:color w:val="2E6E73"/>
          <w:sz w:val="18"/>
        </w:rPr>
        <w:t xml:space="preserve">6. </w:t>
      </w:r>
      <w:r>
        <w:rPr>
          <w:rFonts w:ascii="Noto Sans Arabic" w:hAnsi="Noto Sans Arabic" w:eastAsia="Noto Sans Arabic" w:cs="Noto Sans Arabic"/>
          <w:b w:val="0"/>
          <w:sz w:val="18"/>
        </w:rPr>
        <w:t>تطبیق پوشش شعب در فایل مرجع سود پرداختی با فهرست رسمی شعب و روش نگاشت هشت شناسه‌ی دوگانه؛ دریافت تأیید بانک برای محاسبه‌ی هزینه‌ی تأمین مالی.</w:t>
      </w:r>
    </w:p>
    <w:p>
      <w:pPr>
        <w:spacing w:before="0" w:after="80" w:line="269" w:lineRule="auto"/>
        <w:jc w:val="right"/>
        <w:keepLines/>
        <w:widowControl/>
        <w:bidi w:val="1"/>
      </w:pPr>
      <w:r>
        <w:rPr>
          <w:rFonts w:ascii="Noto Sans Arabic" w:hAnsi="Noto Sans Arabic" w:eastAsia="Noto Sans Arabic" w:cs="Noto Sans Arabic"/>
          <w:b/>
          <w:color w:val="2E6E73"/>
          <w:sz w:val="18"/>
        </w:rPr>
        <w:t xml:space="preserve">7. </w:t>
      </w:r>
      <w:r>
        <w:rPr>
          <w:rFonts w:ascii="Noto Sans Arabic" w:hAnsi="Noto Sans Arabic" w:eastAsia="Noto Sans Arabic" w:cs="Noto Sans Arabic"/>
          <w:b w:val="0"/>
          <w:sz w:val="18"/>
        </w:rPr>
        <w:t>به‌روزرسانی وضعیت نسخه، تاریخ و عنوان سند؛ تطبیق دوباره‌ی تمام شماره‌ی جدول‌ها در گزارش و پیوست اکسل.</w:t>
      </w:r>
    </w:p>
    <w:p>
      <w:pPr>
        <w:spacing w:before="160" w:after="80" w:line="240" w:lineRule="auto"/>
        <w:jc w:val="right"/>
        <w:keepLines/>
        <w:widowControl/>
        <w:bidi w:val="1"/>
        <w:keepNext/>
      </w:pPr>
      <w:r>
        <w:rPr>
          <w:rFonts w:ascii="Noto Sans Arabic" w:hAnsi="Noto Sans Arabic" w:eastAsia="Noto Sans Arabic" w:cs="Noto Sans Arabic"/>
          <w:b/>
          <w:color w:val="17324D"/>
          <w:sz w:val="30"/>
        </w:rPr>
        <w:t>۷. نتیجه و توصیه‌ی نظارتی</w:t>
      </w:r>
    </w:p>
    <w:p>
      <w:pPr>
        <w:spacing w:before="0" w:after="100" w:line="269" w:lineRule="auto"/>
        <w:jc w:val="right"/>
        <w:keepLines/>
        <w:widowControl/>
        <w:bidi w:val="1"/>
      </w:pPr>
      <w:r>
        <w:rPr>
          <w:rFonts w:ascii="Noto Sans Arabic" w:hAnsi="Noto Sans Arabic" w:eastAsia="Noto Sans Arabic" w:cs="Noto Sans Arabic"/>
          <w:b/>
          <w:color w:val="17324D"/>
          <w:sz w:val="20"/>
        </w:rPr>
        <w:t>نسخه‌ی v5 نسبت به نسخه‌ی قبلی اصلاحات معناداری دارد و چارچوب گزارش برای ادامه‌ی پروژه قابل استفاده است؛ اما هنوز نباید آن را به‌عنوان نسخه‌ی نهاییِ بدون قید تصویب کرد. سه موضوع باید پیش‌شرط تأیید باشند: (۱) تعیین تکلیف جمعیت نمونه و فهرست گیرندگان تسهیلات، (۲) تطبیق تعداد حساب‌ها و پوشش طبقات مانده، و (۳) محدودکردن یا بازسازی برآورد حاشیه‌ی قراردادی برای جلوگیری از تعمیم نرخ‌های بخش پوشش‌داده‌شده به کل بانک.</w:t>
      </w:r>
    </w:p>
    <w:p>
      <w:pPr>
        <w:spacing w:before="0" w:after="80" w:line="269" w:lineRule="auto"/>
        <w:jc w:val="right"/>
        <w:keepLines/>
        <w:widowControl/>
        <w:bidi w:val="1"/>
      </w:pPr>
      <w:r>
        <w:rPr>
          <w:rFonts w:ascii="Noto Sans Arabic" w:hAnsi="Noto Sans Arabic" w:eastAsia="Noto Sans Arabic" w:cs="Noto Sans Arabic"/>
          <w:b w:val="0"/>
          <w:sz w:val="19"/>
        </w:rPr>
        <w:t>مواردی که تنها با داده یا تأیید بانک حل می‌شوند، می‌توانند در گزارش با برچسب «نیازمند تأیید بانک» باقی بمانند؛ مشروط بر اینکه نتیجه‌ی متکی بر آن‌ها به‌عنوان یافته‌ی قطعی کل بانک یا مبنای رتبه‌بندی نهایی ریسک ارائه نشود. پس از اعمال اصلاحات، یک کنترل نهایی هم‌زمان بر فایل DOCX و پیوست اکسل و بازبینی همه‌ی نمودارها انجام شود.</w:t>
      </w:r>
    </w:p>
    <w:p>
      <w:pPr>
        <w:spacing w:before="60" w:after="40" w:line="269" w:lineRule="auto"/>
        <w:jc w:val="right"/>
        <w:keepLines/>
        <w:widowControl/>
        <w:bidi w:val="1"/>
      </w:pPr>
      <w:r>
        <w:rPr>
          <w:rFonts w:ascii="Noto Sans Arabic" w:hAnsi="Noto Sans Arabic" w:eastAsia="Noto Sans Arabic" w:cs="Noto Sans Arabic"/>
          <w:b/>
          <w:color w:val="A33B32"/>
          <w:sz w:val="21"/>
        </w:rPr>
        <w:t>پیشنهاد نهایی: پذیرش مشروط فاز ۱، همراه با فهرست اصلاحات و پاسخ‌های داده‌ای فوق؛ عدم تأیید نسخه‌ی فعلی به‌عنوان نسخه‌ی نهایی بدون قید.</w:t>
      </w:r>
    </w:p>
    <w:sectPr w:rsidR="00FC693F" w:rsidRPr="0006063C" w:rsidSect="00034616">
      <w:headerReference w:type="default" r:id="rId9"/>
      <w:footerReference w:type="default" r:id="rId10"/>
      <w:pgSz w:w="11909" w:h="16834"/>
      <w:pgMar w:top="979"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keepLines/>
      <w:widowControl/>
      <w:bidi w:val="1"/>
    </w:pPr>
    <w:r>
      <w:rPr>
        <w:rFonts w:ascii="Noto Sans Arabic" w:hAnsi="Noto Sans Arabic" w:eastAsia="Noto Sans Arabic" w:cs="Noto Sans Arabic"/>
        <w:b w:val="0"/>
        <w:color w:val="5A6B78"/>
        <w:sz w:val="16"/>
      </w:rPr>
      <w:t xml:space="preserve">محرمانه ـ برای استفاده در فرایند بررسی کارفرما  |  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keepLines/>
      <w:widowControl/>
      <w:bidi w:val="1"/>
      <w:pBdr>
        <w:bottom w:val="single" w:sz="6" w:space="3" w:color="2E6E73"/>
      </w:pBdr>
    </w:pPr>
    <w:r>
      <w:rPr>
        <w:rFonts w:ascii="Noto Sans Arabic" w:hAnsi="Noto Sans Arabic" w:eastAsia="Noto Sans Arabic" w:cs="Noto Sans Arabic"/>
        <w:b/>
        <w:color w:val="2E6E73"/>
        <w:sz w:val="16"/>
      </w:rPr>
      <w:t>گزارش نظارت تحلیلی | پروژه تحلیل رفتار مشتریان بانک توسعه تعاون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eastAsia="Noto Sans Arabic" w:cs="Noto Sans Arabic"/>
      <w:sz w:val="19"/>
    </w:rPr>
  </w:style>
  <w:style w:type="paragraph" w:styleId="ListBullet2">
    <w:name w:val="List Bullet 2"/>
    <w:basedOn w:val="Normal"/>
    <w:uiPriority w:val="99"/>
    <w:unhideWhenUsed/>
    <w:rsid w:val="00326F90"/>
    <w:pPr>
      <w:numPr>
        <w:numId w:val="2"/>
      </w:numPr>
      <w:contextualSpacing/>
    </w:pPr>
    <w:rPr>
      <w:rFonts w:ascii="Noto Sans Arabic" w:hAnsi="Noto Sans Arabic" w:eastAsia="Noto Sans Arabic" w:cs="Noto Sans Arabic"/>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بررسی و نظارت بر نسخه اصلاحی v5</dc:title>
  <dc:subject>تحلیل رفتار مشتریان بانک توسعه تعاون - فاز ۱</dc:subject>
  <dc:creator>گزارش بررسی مستقل</dc:creator>
  <cp:keywords>داوری، نظارت، بانک، فاز ۱، نسخه v5</cp:keywords>
  <dc:description>generated by python-docx</dc:description>
  <cp:lastModifiedBy/>
  <cp:revision>1</cp:revision>
  <dcterms:created xsi:type="dcterms:W3CDTF">2013-12-23T23:15:00Z</dcterms:created>
  <dcterms:modified xsi:type="dcterms:W3CDTF">2013-12-23T23:15:00Z</dcterms:modified>
  <cp:category/>
</cp:coreProperties>
</file>